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B5" w:rsidRPr="00472021" w:rsidRDefault="004719B5" w:rsidP="002C3BA3">
      <w:pPr>
        <w:pStyle w:val="NoSpacing"/>
        <w:rPr>
          <w:rFonts w:ascii="Arial" w:hAnsi="Arial" w:cs="Arial"/>
          <w:sz w:val="24"/>
          <w:szCs w:val="24"/>
          <w:lang w:val="sq-AL"/>
        </w:rPr>
      </w:pPr>
    </w:p>
    <w:p w:rsidR="002C3BA3" w:rsidRPr="00472021" w:rsidRDefault="002C3BA3" w:rsidP="002C3BA3">
      <w:pPr>
        <w:pStyle w:val="NoSpacing"/>
        <w:rPr>
          <w:rFonts w:ascii="Arial" w:hAnsi="Arial" w:cs="Arial"/>
          <w:b/>
          <w:sz w:val="24"/>
          <w:szCs w:val="24"/>
          <w:lang w:val="sq-AL"/>
        </w:rPr>
      </w:pPr>
      <w:r w:rsidRPr="00472021">
        <w:rPr>
          <w:rFonts w:ascii="Arial" w:hAnsi="Arial" w:cs="Arial"/>
          <w:sz w:val="24"/>
          <w:szCs w:val="24"/>
          <w:lang w:val="sq-AL"/>
        </w:rPr>
        <w:tab/>
      </w:r>
      <w:r w:rsidRPr="00472021">
        <w:rPr>
          <w:rFonts w:ascii="Arial" w:hAnsi="Arial" w:cs="Arial"/>
          <w:b/>
          <w:sz w:val="24"/>
          <w:szCs w:val="24"/>
          <w:lang w:val="sq-AL"/>
        </w:rPr>
        <w:t xml:space="preserve">Kontributi i fondeve </w:t>
      </w:r>
      <w:r w:rsidR="00C7751F" w:rsidRPr="00472021">
        <w:rPr>
          <w:rFonts w:ascii="Arial" w:hAnsi="Arial" w:cs="Arial"/>
          <w:b/>
          <w:sz w:val="24"/>
          <w:szCs w:val="24"/>
          <w:lang w:val="sq-AL"/>
        </w:rPr>
        <w:t xml:space="preserve">të detyrueshme </w:t>
      </w:r>
      <w:r w:rsidRPr="00472021">
        <w:rPr>
          <w:rFonts w:ascii="Arial" w:hAnsi="Arial" w:cs="Arial"/>
          <w:b/>
          <w:sz w:val="24"/>
          <w:szCs w:val="24"/>
          <w:lang w:val="sq-AL"/>
        </w:rPr>
        <w:t xml:space="preserve">pensionale në vitin 2020 </w:t>
      </w:r>
    </w:p>
    <w:p w:rsidR="002C3BA3" w:rsidRPr="00472021" w:rsidRDefault="002C3BA3" w:rsidP="002C3BA3">
      <w:pPr>
        <w:pStyle w:val="NoSpacing"/>
        <w:rPr>
          <w:rFonts w:ascii="Arial" w:hAnsi="Arial" w:cs="Arial"/>
          <w:sz w:val="24"/>
          <w:szCs w:val="24"/>
          <w:lang w:val="sq-AL"/>
        </w:rPr>
      </w:pPr>
    </w:p>
    <w:p w:rsidR="002C3BA3" w:rsidRPr="00472021" w:rsidRDefault="002C3BA3" w:rsidP="00E56A70">
      <w:pPr>
        <w:pStyle w:val="NoSpacing"/>
        <w:jc w:val="both"/>
        <w:rPr>
          <w:rFonts w:ascii="Arial" w:hAnsi="Arial" w:cs="Arial"/>
          <w:sz w:val="24"/>
          <w:szCs w:val="24"/>
          <w:lang w:val="sq-AL"/>
        </w:rPr>
      </w:pPr>
      <w:r w:rsidRPr="00472021">
        <w:rPr>
          <w:rFonts w:ascii="Arial" w:hAnsi="Arial" w:cs="Arial"/>
          <w:sz w:val="24"/>
          <w:szCs w:val="24"/>
          <w:lang w:val="sq-AL"/>
        </w:rPr>
        <w:tab/>
        <w:t xml:space="preserve">Kontributi i fondeve </w:t>
      </w:r>
      <w:r w:rsidR="00C7751F" w:rsidRPr="00472021">
        <w:rPr>
          <w:rFonts w:ascii="Arial" w:hAnsi="Arial" w:cs="Arial"/>
          <w:sz w:val="24"/>
          <w:szCs w:val="24"/>
          <w:lang w:val="sq-AL"/>
        </w:rPr>
        <w:t xml:space="preserve">të detyrueshme </w:t>
      </w:r>
      <w:r w:rsidRPr="00472021">
        <w:rPr>
          <w:rFonts w:ascii="Arial" w:hAnsi="Arial" w:cs="Arial"/>
          <w:sz w:val="24"/>
          <w:szCs w:val="24"/>
          <w:lang w:val="sq-AL"/>
        </w:rPr>
        <w:t>pensionale i reduktuar në nivel vjetor sipas periudhave ës</w:t>
      </w:r>
      <w:bookmarkStart w:id="0" w:name="_GoBack"/>
      <w:bookmarkEnd w:id="0"/>
      <w:r w:rsidRPr="00472021">
        <w:rPr>
          <w:rFonts w:ascii="Arial" w:hAnsi="Arial" w:cs="Arial"/>
          <w:sz w:val="24"/>
          <w:szCs w:val="24"/>
          <w:lang w:val="sq-AL"/>
        </w:rPr>
        <w:t>htë:</w:t>
      </w:r>
    </w:p>
    <w:p w:rsidR="002C3BA3" w:rsidRPr="00472021" w:rsidRDefault="002C3BA3" w:rsidP="002C3BA3">
      <w:pPr>
        <w:pStyle w:val="NoSpacing"/>
        <w:rPr>
          <w:rFonts w:ascii="Arial" w:hAnsi="Arial" w:cs="Arial"/>
          <w:sz w:val="24"/>
          <w:szCs w:val="24"/>
          <w:lang w:val="sq-AL"/>
        </w:rPr>
      </w:pPr>
    </w:p>
    <w:p w:rsidR="00927C13" w:rsidRPr="00472021" w:rsidRDefault="00927C13" w:rsidP="002C3BA3">
      <w:pPr>
        <w:pStyle w:val="NoSpacing"/>
        <w:rPr>
          <w:rFonts w:ascii="Arial" w:hAnsi="Arial" w:cs="Arial"/>
          <w:sz w:val="24"/>
          <w:szCs w:val="24"/>
          <w:lang w:val="sq-AL"/>
        </w:rPr>
      </w:pPr>
    </w:p>
    <w:tbl>
      <w:tblPr>
        <w:tblStyle w:val="TableGrid"/>
        <w:tblW w:w="0" w:type="auto"/>
        <w:tblLayout w:type="fixed"/>
        <w:tblLook w:val="04A0" w:firstRow="1" w:lastRow="0" w:firstColumn="1" w:lastColumn="0" w:noHBand="0" w:noVBand="1"/>
      </w:tblPr>
      <w:tblGrid>
        <w:gridCol w:w="2268"/>
        <w:gridCol w:w="1260"/>
        <w:gridCol w:w="1170"/>
        <w:gridCol w:w="1260"/>
        <w:gridCol w:w="1170"/>
        <w:gridCol w:w="1260"/>
        <w:gridCol w:w="1188"/>
      </w:tblGrid>
      <w:tr w:rsidR="006C17E1" w:rsidRPr="00472021" w:rsidTr="00B548E3">
        <w:tc>
          <w:tcPr>
            <w:tcW w:w="2268" w:type="dxa"/>
            <w:shd w:val="clear" w:color="auto" w:fill="A6A6A6" w:themeFill="background1" w:themeFillShade="A6"/>
          </w:tcPr>
          <w:p w:rsidR="00C7751F" w:rsidRPr="00472021" w:rsidRDefault="00C7751F" w:rsidP="00927C13">
            <w:pPr>
              <w:pStyle w:val="NoSpacing"/>
              <w:jc w:val="center"/>
              <w:rPr>
                <w:rFonts w:ascii="Arial" w:hAnsi="Arial" w:cs="Arial"/>
                <w:sz w:val="18"/>
                <w:szCs w:val="18"/>
                <w:lang w:val="sq-AL"/>
              </w:rPr>
            </w:pPr>
          </w:p>
        </w:tc>
        <w:tc>
          <w:tcPr>
            <w:tcW w:w="1260" w:type="dxa"/>
            <w:shd w:val="clear" w:color="auto" w:fill="A6A6A6" w:themeFill="background1" w:themeFillShade="A6"/>
          </w:tcPr>
          <w:p w:rsidR="00C7751F" w:rsidRPr="00472021" w:rsidRDefault="00C7751F" w:rsidP="00C7751F">
            <w:pPr>
              <w:pStyle w:val="NoSpacing"/>
              <w:jc w:val="center"/>
              <w:rPr>
                <w:rFonts w:ascii="Arial" w:hAnsi="Arial" w:cs="Arial"/>
                <w:sz w:val="18"/>
                <w:szCs w:val="18"/>
                <w:lang w:val="sq-AL"/>
              </w:rPr>
            </w:pPr>
            <w:r w:rsidRPr="00472021">
              <w:rPr>
                <w:rFonts w:ascii="Arial" w:hAnsi="Arial" w:cs="Arial"/>
                <w:sz w:val="18"/>
                <w:szCs w:val="18"/>
                <w:lang w:val="sq-AL"/>
              </w:rPr>
              <w:t>Fondi i hapur i detyrueshëm pensional Sava Pension Plus</w:t>
            </w:r>
            <w:r w:rsidRPr="00472021">
              <w:rPr>
                <w:rStyle w:val="FootnoteReference"/>
                <w:rFonts w:ascii="Arial" w:hAnsi="Arial" w:cs="Arial"/>
                <w:sz w:val="18"/>
                <w:szCs w:val="18"/>
                <w:lang w:val="sq-AL"/>
              </w:rPr>
              <w:footnoteReference w:id="1"/>
            </w:r>
          </w:p>
        </w:tc>
        <w:tc>
          <w:tcPr>
            <w:tcW w:w="1170" w:type="dxa"/>
            <w:shd w:val="clear" w:color="auto" w:fill="A6A6A6" w:themeFill="background1" w:themeFillShade="A6"/>
          </w:tcPr>
          <w:p w:rsidR="00C7751F" w:rsidRPr="00472021" w:rsidRDefault="00C7751F" w:rsidP="00927C13">
            <w:pPr>
              <w:pStyle w:val="NoSpacing"/>
              <w:jc w:val="center"/>
              <w:rPr>
                <w:rFonts w:ascii="Arial" w:hAnsi="Arial" w:cs="Arial"/>
                <w:sz w:val="18"/>
                <w:szCs w:val="18"/>
                <w:lang w:val="sq-AL"/>
              </w:rPr>
            </w:pPr>
          </w:p>
        </w:tc>
        <w:tc>
          <w:tcPr>
            <w:tcW w:w="1260" w:type="dxa"/>
            <w:shd w:val="clear" w:color="auto" w:fill="A6A6A6" w:themeFill="background1" w:themeFillShade="A6"/>
          </w:tcPr>
          <w:p w:rsidR="00C7751F" w:rsidRPr="00472021" w:rsidRDefault="00C7751F" w:rsidP="00927C13">
            <w:pPr>
              <w:pStyle w:val="NoSpacing"/>
              <w:jc w:val="center"/>
              <w:rPr>
                <w:rFonts w:ascii="Arial" w:hAnsi="Arial" w:cs="Arial"/>
                <w:sz w:val="18"/>
                <w:szCs w:val="18"/>
                <w:lang w:val="sq-AL"/>
              </w:rPr>
            </w:pPr>
            <w:r w:rsidRPr="00472021">
              <w:rPr>
                <w:rFonts w:ascii="Arial" w:hAnsi="Arial" w:cs="Arial"/>
                <w:sz w:val="18"/>
                <w:szCs w:val="18"/>
                <w:lang w:val="sq-AL"/>
              </w:rPr>
              <w:t>KB Fondi i parë i hapur i detyrueshëm  pensional – Shkup</w:t>
            </w:r>
            <w:r w:rsidRPr="00472021">
              <w:rPr>
                <w:rStyle w:val="FootnoteReference"/>
                <w:rFonts w:ascii="Arial" w:hAnsi="Arial" w:cs="Arial"/>
                <w:sz w:val="18"/>
                <w:szCs w:val="18"/>
                <w:lang w:val="sq-AL"/>
              </w:rPr>
              <w:footnoteReference w:id="2"/>
            </w:r>
          </w:p>
        </w:tc>
        <w:tc>
          <w:tcPr>
            <w:tcW w:w="1170" w:type="dxa"/>
            <w:shd w:val="clear" w:color="auto" w:fill="A6A6A6" w:themeFill="background1" w:themeFillShade="A6"/>
          </w:tcPr>
          <w:p w:rsidR="00C7751F" w:rsidRPr="00472021" w:rsidRDefault="00C7751F" w:rsidP="00927C13">
            <w:pPr>
              <w:pStyle w:val="NoSpacing"/>
              <w:jc w:val="center"/>
              <w:rPr>
                <w:rFonts w:ascii="Arial" w:hAnsi="Arial" w:cs="Arial"/>
                <w:sz w:val="18"/>
                <w:szCs w:val="18"/>
                <w:lang w:val="sq-AL"/>
              </w:rPr>
            </w:pPr>
          </w:p>
        </w:tc>
        <w:tc>
          <w:tcPr>
            <w:tcW w:w="1260" w:type="dxa"/>
            <w:shd w:val="clear" w:color="auto" w:fill="A6A6A6" w:themeFill="background1" w:themeFillShade="A6"/>
          </w:tcPr>
          <w:p w:rsidR="00C7751F" w:rsidRPr="00472021" w:rsidRDefault="00C7751F" w:rsidP="00927C13">
            <w:pPr>
              <w:pStyle w:val="NoSpacing"/>
              <w:jc w:val="center"/>
              <w:rPr>
                <w:rFonts w:ascii="Arial" w:hAnsi="Arial" w:cs="Arial"/>
                <w:sz w:val="18"/>
                <w:szCs w:val="18"/>
                <w:lang w:val="sq-AL"/>
              </w:rPr>
            </w:pPr>
            <w:r w:rsidRPr="00472021">
              <w:rPr>
                <w:rFonts w:ascii="Arial" w:hAnsi="Arial" w:cs="Arial"/>
                <w:sz w:val="18"/>
                <w:szCs w:val="18"/>
                <w:lang w:val="sq-AL"/>
              </w:rPr>
              <w:t>Triglav Fondi i hapur i detyrueshëm pensional – Shkup</w:t>
            </w:r>
            <w:r w:rsidR="00EC4716" w:rsidRPr="00472021">
              <w:rPr>
                <w:rStyle w:val="FootnoteReference"/>
                <w:rFonts w:ascii="Arial" w:hAnsi="Arial" w:cs="Arial"/>
                <w:sz w:val="18"/>
                <w:szCs w:val="18"/>
                <w:lang w:val="sq-AL"/>
              </w:rPr>
              <w:footnoteReference w:id="3"/>
            </w:r>
            <w:r w:rsidRPr="00472021">
              <w:rPr>
                <w:rFonts w:ascii="Arial" w:hAnsi="Arial" w:cs="Arial"/>
                <w:sz w:val="18"/>
                <w:szCs w:val="18"/>
                <w:lang w:val="sq-AL"/>
              </w:rPr>
              <w:t xml:space="preserve"> </w:t>
            </w:r>
          </w:p>
        </w:tc>
        <w:tc>
          <w:tcPr>
            <w:tcW w:w="1188" w:type="dxa"/>
            <w:shd w:val="clear" w:color="auto" w:fill="A6A6A6" w:themeFill="background1" w:themeFillShade="A6"/>
          </w:tcPr>
          <w:p w:rsidR="00C7751F" w:rsidRPr="00472021" w:rsidRDefault="00C7751F" w:rsidP="00927C13">
            <w:pPr>
              <w:pStyle w:val="NoSpacing"/>
              <w:jc w:val="center"/>
              <w:rPr>
                <w:rFonts w:ascii="Arial" w:hAnsi="Arial" w:cs="Arial"/>
                <w:sz w:val="18"/>
                <w:szCs w:val="18"/>
                <w:lang w:val="sq-AL"/>
              </w:rPr>
            </w:pPr>
          </w:p>
        </w:tc>
      </w:tr>
      <w:tr w:rsidR="006C17E1" w:rsidRPr="00472021" w:rsidTr="00B548E3">
        <w:tc>
          <w:tcPr>
            <w:tcW w:w="2268" w:type="dxa"/>
            <w:shd w:val="clear" w:color="auto" w:fill="A6A6A6" w:themeFill="background1" w:themeFillShade="A6"/>
          </w:tcPr>
          <w:p w:rsidR="00C7751F" w:rsidRPr="00472021" w:rsidRDefault="00C7751F" w:rsidP="00927C13">
            <w:pPr>
              <w:pStyle w:val="NoSpacing"/>
              <w:jc w:val="center"/>
              <w:rPr>
                <w:rFonts w:ascii="Arial" w:hAnsi="Arial" w:cs="Arial"/>
                <w:sz w:val="18"/>
                <w:szCs w:val="18"/>
                <w:lang w:val="sq-AL"/>
              </w:rPr>
            </w:pPr>
            <w:r w:rsidRPr="00472021">
              <w:rPr>
                <w:rFonts w:ascii="Arial" w:hAnsi="Arial" w:cs="Arial"/>
                <w:sz w:val="18"/>
                <w:szCs w:val="18"/>
                <w:lang w:val="sq-AL"/>
              </w:rPr>
              <w:t>Periudha</w:t>
            </w:r>
          </w:p>
        </w:tc>
        <w:tc>
          <w:tcPr>
            <w:tcW w:w="1260" w:type="dxa"/>
            <w:shd w:val="clear" w:color="auto" w:fill="A6A6A6" w:themeFill="background1" w:themeFillShade="A6"/>
          </w:tcPr>
          <w:p w:rsidR="00C7751F" w:rsidRPr="00472021" w:rsidRDefault="00C7751F" w:rsidP="00927C13">
            <w:pPr>
              <w:pStyle w:val="NoSpacing"/>
              <w:jc w:val="center"/>
              <w:rPr>
                <w:rFonts w:ascii="Arial" w:hAnsi="Arial" w:cs="Arial"/>
                <w:i/>
                <w:sz w:val="18"/>
                <w:szCs w:val="18"/>
                <w:lang w:val="sq-AL"/>
              </w:rPr>
            </w:pPr>
            <w:r w:rsidRPr="00472021">
              <w:rPr>
                <w:rFonts w:ascii="Arial" w:hAnsi="Arial" w:cs="Arial"/>
                <w:i/>
                <w:sz w:val="18"/>
                <w:szCs w:val="18"/>
                <w:lang w:val="sq-AL"/>
              </w:rPr>
              <w:t>në shumën nominale</w:t>
            </w:r>
          </w:p>
        </w:tc>
        <w:tc>
          <w:tcPr>
            <w:tcW w:w="1170" w:type="dxa"/>
            <w:shd w:val="clear" w:color="auto" w:fill="A6A6A6" w:themeFill="background1" w:themeFillShade="A6"/>
          </w:tcPr>
          <w:p w:rsidR="00C7751F" w:rsidRPr="00472021" w:rsidRDefault="00C7751F" w:rsidP="00927C13">
            <w:pPr>
              <w:pStyle w:val="NoSpacing"/>
              <w:jc w:val="center"/>
              <w:rPr>
                <w:rFonts w:ascii="Arial" w:hAnsi="Arial" w:cs="Arial"/>
                <w:i/>
                <w:sz w:val="18"/>
                <w:szCs w:val="18"/>
                <w:lang w:val="sq-AL"/>
              </w:rPr>
            </w:pPr>
            <w:r w:rsidRPr="00472021">
              <w:rPr>
                <w:rFonts w:ascii="Arial" w:hAnsi="Arial" w:cs="Arial"/>
                <w:i/>
                <w:sz w:val="18"/>
                <w:szCs w:val="18"/>
                <w:lang w:val="sq-AL"/>
              </w:rPr>
              <w:t>në shumën reale</w:t>
            </w:r>
          </w:p>
        </w:tc>
        <w:tc>
          <w:tcPr>
            <w:tcW w:w="1260" w:type="dxa"/>
            <w:shd w:val="clear" w:color="auto" w:fill="A6A6A6" w:themeFill="background1" w:themeFillShade="A6"/>
          </w:tcPr>
          <w:p w:rsidR="00C7751F" w:rsidRPr="00472021" w:rsidRDefault="00C7751F" w:rsidP="00927C13">
            <w:pPr>
              <w:pStyle w:val="NoSpacing"/>
              <w:jc w:val="center"/>
              <w:rPr>
                <w:rFonts w:ascii="Arial" w:hAnsi="Arial" w:cs="Arial"/>
                <w:i/>
                <w:sz w:val="18"/>
                <w:szCs w:val="18"/>
                <w:lang w:val="sq-AL"/>
              </w:rPr>
            </w:pPr>
            <w:r w:rsidRPr="00472021">
              <w:rPr>
                <w:rFonts w:ascii="Arial" w:hAnsi="Arial" w:cs="Arial"/>
                <w:i/>
                <w:sz w:val="18"/>
                <w:szCs w:val="18"/>
                <w:lang w:val="sq-AL"/>
              </w:rPr>
              <w:t>në shumën nominale</w:t>
            </w:r>
          </w:p>
        </w:tc>
        <w:tc>
          <w:tcPr>
            <w:tcW w:w="1170" w:type="dxa"/>
            <w:shd w:val="clear" w:color="auto" w:fill="A6A6A6" w:themeFill="background1" w:themeFillShade="A6"/>
          </w:tcPr>
          <w:p w:rsidR="00C7751F" w:rsidRPr="00472021" w:rsidRDefault="00C7751F" w:rsidP="00927C13">
            <w:pPr>
              <w:pStyle w:val="NoSpacing"/>
              <w:jc w:val="center"/>
              <w:rPr>
                <w:rFonts w:ascii="Arial" w:hAnsi="Arial" w:cs="Arial"/>
                <w:i/>
                <w:sz w:val="18"/>
                <w:szCs w:val="18"/>
                <w:lang w:val="sq-AL"/>
              </w:rPr>
            </w:pPr>
            <w:r w:rsidRPr="00472021">
              <w:rPr>
                <w:rFonts w:ascii="Arial" w:hAnsi="Arial" w:cs="Arial"/>
                <w:i/>
                <w:sz w:val="18"/>
                <w:szCs w:val="18"/>
                <w:lang w:val="sq-AL"/>
              </w:rPr>
              <w:t>në shumën reale</w:t>
            </w:r>
          </w:p>
        </w:tc>
        <w:tc>
          <w:tcPr>
            <w:tcW w:w="1260" w:type="dxa"/>
            <w:shd w:val="clear" w:color="auto" w:fill="A6A6A6" w:themeFill="background1" w:themeFillShade="A6"/>
          </w:tcPr>
          <w:p w:rsidR="00C7751F" w:rsidRPr="00472021" w:rsidRDefault="00C7751F" w:rsidP="00800849">
            <w:pPr>
              <w:pStyle w:val="NoSpacing"/>
              <w:jc w:val="center"/>
              <w:rPr>
                <w:rFonts w:ascii="Arial" w:hAnsi="Arial" w:cs="Arial"/>
                <w:i/>
                <w:sz w:val="18"/>
                <w:szCs w:val="18"/>
                <w:lang w:val="sq-AL"/>
              </w:rPr>
            </w:pPr>
            <w:r w:rsidRPr="00472021">
              <w:rPr>
                <w:rFonts w:ascii="Arial" w:hAnsi="Arial" w:cs="Arial"/>
                <w:i/>
                <w:sz w:val="18"/>
                <w:szCs w:val="18"/>
                <w:lang w:val="sq-AL"/>
              </w:rPr>
              <w:t>në shumën nominale</w:t>
            </w:r>
          </w:p>
        </w:tc>
        <w:tc>
          <w:tcPr>
            <w:tcW w:w="1188" w:type="dxa"/>
            <w:shd w:val="clear" w:color="auto" w:fill="A6A6A6" w:themeFill="background1" w:themeFillShade="A6"/>
          </w:tcPr>
          <w:p w:rsidR="00C7751F" w:rsidRPr="00472021" w:rsidRDefault="00C7751F" w:rsidP="00800849">
            <w:pPr>
              <w:pStyle w:val="NoSpacing"/>
              <w:jc w:val="center"/>
              <w:rPr>
                <w:rFonts w:ascii="Arial" w:hAnsi="Arial" w:cs="Arial"/>
                <w:i/>
                <w:sz w:val="18"/>
                <w:szCs w:val="18"/>
                <w:lang w:val="sq-AL"/>
              </w:rPr>
            </w:pPr>
            <w:r w:rsidRPr="00472021">
              <w:rPr>
                <w:rFonts w:ascii="Arial" w:hAnsi="Arial" w:cs="Arial"/>
                <w:i/>
                <w:sz w:val="18"/>
                <w:szCs w:val="18"/>
                <w:lang w:val="sq-AL"/>
              </w:rPr>
              <w:t>në shumën reale</w:t>
            </w:r>
          </w:p>
        </w:tc>
      </w:tr>
      <w:tr w:rsidR="006C17E1" w:rsidRPr="00472021" w:rsidTr="006C17E1">
        <w:tc>
          <w:tcPr>
            <w:tcW w:w="2268" w:type="dxa"/>
          </w:tcPr>
          <w:p w:rsidR="00C7751F" w:rsidRPr="00472021" w:rsidRDefault="00C7751F" w:rsidP="002C3BA3">
            <w:pPr>
              <w:pStyle w:val="NoSpacing"/>
              <w:rPr>
                <w:rFonts w:ascii="Arial" w:hAnsi="Arial" w:cs="Arial"/>
                <w:sz w:val="18"/>
                <w:szCs w:val="18"/>
                <w:lang w:val="sq-AL"/>
              </w:rPr>
            </w:pPr>
            <w:r w:rsidRPr="00472021">
              <w:rPr>
                <w:rFonts w:ascii="Arial" w:hAnsi="Arial" w:cs="Arial"/>
                <w:sz w:val="18"/>
                <w:szCs w:val="18"/>
                <w:lang w:val="sq-AL"/>
              </w:rPr>
              <w:t>31.03.2013 – 31.03.2020</w:t>
            </w:r>
          </w:p>
        </w:tc>
        <w:tc>
          <w:tcPr>
            <w:tcW w:w="1260"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5,23%</w:t>
            </w:r>
          </w:p>
        </w:tc>
        <w:tc>
          <w:tcPr>
            <w:tcW w:w="1170" w:type="dxa"/>
          </w:tcPr>
          <w:p w:rsidR="00C7751F" w:rsidRPr="00472021" w:rsidRDefault="00C7751F" w:rsidP="002C3BA3">
            <w:pPr>
              <w:pStyle w:val="NoSpacing"/>
              <w:rPr>
                <w:rFonts w:ascii="Arial" w:hAnsi="Arial" w:cs="Arial"/>
                <w:sz w:val="18"/>
                <w:szCs w:val="18"/>
                <w:lang w:val="sq-AL"/>
              </w:rPr>
            </w:pPr>
            <w:r w:rsidRPr="00472021">
              <w:rPr>
                <w:rFonts w:ascii="Arial" w:hAnsi="Arial" w:cs="Arial"/>
                <w:sz w:val="18"/>
                <w:szCs w:val="18"/>
                <w:lang w:val="sq-AL"/>
              </w:rPr>
              <w:t>4,68%</w:t>
            </w:r>
          </w:p>
        </w:tc>
        <w:tc>
          <w:tcPr>
            <w:tcW w:w="1260" w:type="dxa"/>
          </w:tcPr>
          <w:p w:rsidR="00C7751F" w:rsidRPr="00472021" w:rsidRDefault="00C7751F" w:rsidP="002C3BA3">
            <w:pPr>
              <w:pStyle w:val="NoSpacing"/>
              <w:rPr>
                <w:rFonts w:ascii="Arial" w:hAnsi="Arial" w:cs="Arial"/>
                <w:sz w:val="18"/>
                <w:szCs w:val="18"/>
                <w:lang w:val="sq-AL"/>
              </w:rPr>
            </w:pPr>
            <w:r w:rsidRPr="00472021">
              <w:rPr>
                <w:rFonts w:ascii="Arial" w:hAnsi="Arial" w:cs="Arial"/>
                <w:sz w:val="18"/>
                <w:szCs w:val="18"/>
                <w:lang w:val="sq-AL"/>
              </w:rPr>
              <w:t>5,05%</w:t>
            </w:r>
          </w:p>
        </w:tc>
        <w:tc>
          <w:tcPr>
            <w:tcW w:w="1170"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4,51%</w:t>
            </w:r>
          </w:p>
        </w:tc>
        <w:tc>
          <w:tcPr>
            <w:tcW w:w="1260"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w:t>
            </w:r>
          </w:p>
        </w:tc>
        <w:tc>
          <w:tcPr>
            <w:tcW w:w="1188"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w:t>
            </w:r>
          </w:p>
        </w:tc>
      </w:tr>
      <w:tr w:rsidR="006C17E1" w:rsidRPr="00472021" w:rsidTr="006C17E1">
        <w:tc>
          <w:tcPr>
            <w:tcW w:w="2268" w:type="dxa"/>
          </w:tcPr>
          <w:p w:rsidR="00C7751F" w:rsidRPr="00472021" w:rsidRDefault="00C7751F" w:rsidP="00927C13">
            <w:pPr>
              <w:pStyle w:val="NoSpacing"/>
              <w:rPr>
                <w:rFonts w:ascii="Arial" w:hAnsi="Arial" w:cs="Arial"/>
                <w:sz w:val="18"/>
                <w:szCs w:val="18"/>
                <w:lang w:val="sq-AL"/>
              </w:rPr>
            </w:pPr>
            <w:r w:rsidRPr="00472021">
              <w:rPr>
                <w:rFonts w:ascii="Arial" w:hAnsi="Arial" w:cs="Arial"/>
                <w:sz w:val="18"/>
                <w:szCs w:val="18"/>
                <w:lang w:val="sq-AL"/>
              </w:rPr>
              <w:t>30.06.2013 – 30.06.2020</w:t>
            </w:r>
          </w:p>
        </w:tc>
        <w:tc>
          <w:tcPr>
            <w:tcW w:w="1260"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5,73%</w:t>
            </w:r>
          </w:p>
        </w:tc>
        <w:tc>
          <w:tcPr>
            <w:tcW w:w="1170" w:type="dxa"/>
          </w:tcPr>
          <w:p w:rsidR="00C7751F" w:rsidRPr="00472021" w:rsidRDefault="00C7751F" w:rsidP="00927C13">
            <w:pPr>
              <w:pStyle w:val="NoSpacing"/>
              <w:rPr>
                <w:rFonts w:ascii="Arial" w:hAnsi="Arial" w:cs="Arial"/>
                <w:sz w:val="18"/>
                <w:szCs w:val="18"/>
                <w:lang w:val="sq-AL"/>
              </w:rPr>
            </w:pPr>
            <w:r w:rsidRPr="00472021">
              <w:rPr>
                <w:rFonts w:ascii="Arial" w:hAnsi="Arial" w:cs="Arial"/>
                <w:sz w:val="18"/>
                <w:szCs w:val="18"/>
                <w:lang w:val="sq-AL"/>
              </w:rPr>
              <w:t>5,20%</w:t>
            </w:r>
          </w:p>
        </w:tc>
        <w:tc>
          <w:tcPr>
            <w:tcW w:w="1260" w:type="dxa"/>
          </w:tcPr>
          <w:p w:rsidR="00C7751F" w:rsidRPr="00472021" w:rsidRDefault="00C7751F" w:rsidP="00927C13">
            <w:pPr>
              <w:pStyle w:val="NoSpacing"/>
              <w:rPr>
                <w:rFonts w:ascii="Arial" w:hAnsi="Arial" w:cs="Arial"/>
                <w:sz w:val="18"/>
                <w:szCs w:val="18"/>
                <w:lang w:val="sq-AL"/>
              </w:rPr>
            </w:pPr>
            <w:r w:rsidRPr="00472021">
              <w:rPr>
                <w:rFonts w:ascii="Arial" w:hAnsi="Arial" w:cs="Arial"/>
                <w:sz w:val="18"/>
                <w:szCs w:val="18"/>
                <w:lang w:val="sq-AL"/>
              </w:rPr>
              <w:t>5,69%</w:t>
            </w:r>
          </w:p>
        </w:tc>
        <w:tc>
          <w:tcPr>
            <w:tcW w:w="1170"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5,16%</w:t>
            </w:r>
          </w:p>
        </w:tc>
        <w:tc>
          <w:tcPr>
            <w:tcW w:w="1260"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w:t>
            </w:r>
          </w:p>
        </w:tc>
        <w:tc>
          <w:tcPr>
            <w:tcW w:w="1188"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w:t>
            </w:r>
          </w:p>
        </w:tc>
      </w:tr>
      <w:tr w:rsidR="006C17E1" w:rsidRPr="00472021" w:rsidTr="006C17E1">
        <w:tc>
          <w:tcPr>
            <w:tcW w:w="2268"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30.06.2019 – 30.06.2020</w:t>
            </w:r>
          </w:p>
        </w:tc>
        <w:tc>
          <w:tcPr>
            <w:tcW w:w="1260"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w:t>
            </w:r>
          </w:p>
        </w:tc>
        <w:tc>
          <w:tcPr>
            <w:tcW w:w="1170" w:type="dxa"/>
          </w:tcPr>
          <w:p w:rsidR="00C7751F" w:rsidRPr="00472021" w:rsidRDefault="00C7751F" w:rsidP="00927C13">
            <w:pPr>
              <w:pStyle w:val="NoSpacing"/>
              <w:rPr>
                <w:rFonts w:ascii="Arial" w:hAnsi="Arial" w:cs="Arial"/>
                <w:sz w:val="18"/>
                <w:szCs w:val="18"/>
                <w:lang w:val="sq-AL"/>
              </w:rPr>
            </w:pPr>
            <w:r w:rsidRPr="00472021">
              <w:rPr>
                <w:rFonts w:ascii="Arial" w:hAnsi="Arial" w:cs="Arial"/>
                <w:sz w:val="18"/>
                <w:szCs w:val="18"/>
                <w:lang w:val="sq-AL"/>
              </w:rPr>
              <w:t>-</w:t>
            </w:r>
          </w:p>
        </w:tc>
        <w:tc>
          <w:tcPr>
            <w:tcW w:w="1260" w:type="dxa"/>
          </w:tcPr>
          <w:p w:rsidR="00C7751F" w:rsidRPr="00472021" w:rsidRDefault="00C7751F" w:rsidP="00927C13">
            <w:pPr>
              <w:pStyle w:val="NoSpacing"/>
              <w:rPr>
                <w:rFonts w:ascii="Arial" w:hAnsi="Arial" w:cs="Arial"/>
                <w:sz w:val="18"/>
                <w:szCs w:val="18"/>
                <w:lang w:val="sq-AL"/>
              </w:rPr>
            </w:pPr>
            <w:r w:rsidRPr="00472021">
              <w:rPr>
                <w:rFonts w:ascii="Arial" w:hAnsi="Arial" w:cs="Arial"/>
                <w:sz w:val="18"/>
                <w:szCs w:val="18"/>
                <w:lang w:val="sq-AL"/>
              </w:rPr>
              <w:t>-</w:t>
            </w:r>
          </w:p>
        </w:tc>
        <w:tc>
          <w:tcPr>
            <w:tcW w:w="1170"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w:t>
            </w:r>
          </w:p>
        </w:tc>
        <w:tc>
          <w:tcPr>
            <w:tcW w:w="1260"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-0,64%</w:t>
            </w:r>
          </w:p>
        </w:tc>
        <w:tc>
          <w:tcPr>
            <w:tcW w:w="1188"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-2,27%</w:t>
            </w:r>
          </w:p>
        </w:tc>
      </w:tr>
      <w:tr w:rsidR="006C17E1" w:rsidRPr="00472021" w:rsidTr="006C17E1">
        <w:tc>
          <w:tcPr>
            <w:tcW w:w="2268" w:type="dxa"/>
          </w:tcPr>
          <w:p w:rsidR="00C7751F" w:rsidRPr="00472021" w:rsidRDefault="00C7751F" w:rsidP="00927C13">
            <w:pPr>
              <w:pStyle w:val="NoSpacing"/>
              <w:rPr>
                <w:rFonts w:ascii="Arial" w:hAnsi="Arial" w:cs="Arial"/>
                <w:sz w:val="18"/>
                <w:szCs w:val="18"/>
                <w:lang w:val="sq-AL"/>
              </w:rPr>
            </w:pPr>
            <w:r w:rsidRPr="00472021">
              <w:rPr>
                <w:rFonts w:ascii="Arial" w:hAnsi="Arial" w:cs="Arial"/>
                <w:sz w:val="18"/>
                <w:szCs w:val="18"/>
                <w:lang w:val="sq-AL"/>
              </w:rPr>
              <w:t>30.09.2013 – 30.09.2020</w:t>
            </w:r>
          </w:p>
        </w:tc>
        <w:tc>
          <w:tcPr>
            <w:tcW w:w="1260"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5,60%</w:t>
            </w:r>
          </w:p>
        </w:tc>
        <w:tc>
          <w:tcPr>
            <w:tcW w:w="1170" w:type="dxa"/>
          </w:tcPr>
          <w:p w:rsidR="00C7751F" w:rsidRPr="00472021" w:rsidRDefault="00C7751F" w:rsidP="00927C13">
            <w:pPr>
              <w:pStyle w:val="NoSpacing"/>
              <w:rPr>
                <w:rFonts w:ascii="Arial" w:hAnsi="Arial" w:cs="Arial"/>
                <w:sz w:val="18"/>
                <w:szCs w:val="18"/>
                <w:lang w:val="sq-AL"/>
              </w:rPr>
            </w:pPr>
            <w:r w:rsidRPr="00472021">
              <w:rPr>
                <w:rFonts w:ascii="Arial" w:hAnsi="Arial" w:cs="Arial"/>
                <w:sz w:val="18"/>
                <w:szCs w:val="18"/>
                <w:lang w:val="sq-AL"/>
              </w:rPr>
              <w:t>4,96%</w:t>
            </w:r>
          </w:p>
        </w:tc>
        <w:tc>
          <w:tcPr>
            <w:tcW w:w="1260" w:type="dxa"/>
          </w:tcPr>
          <w:p w:rsidR="00C7751F" w:rsidRPr="00472021" w:rsidRDefault="00C7751F" w:rsidP="00927C13">
            <w:pPr>
              <w:pStyle w:val="NoSpacing"/>
              <w:rPr>
                <w:rFonts w:ascii="Arial" w:hAnsi="Arial" w:cs="Arial"/>
                <w:sz w:val="18"/>
                <w:szCs w:val="18"/>
                <w:lang w:val="sq-AL"/>
              </w:rPr>
            </w:pPr>
            <w:r w:rsidRPr="00472021">
              <w:rPr>
                <w:rFonts w:ascii="Arial" w:hAnsi="Arial" w:cs="Arial"/>
                <w:sz w:val="18"/>
                <w:szCs w:val="18"/>
                <w:lang w:val="sq-AL"/>
              </w:rPr>
              <w:t>5,66%</w:t>
            </w:r>
          </w:p>
        </w:tc>
        <w:tc>
          <w:tcPr>
            <w:tcW w:w="1170"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5,02%</w:t>
            </w:r>
          </w:p>
        </w:tc>
        <w:tc>
          <w:tcPr>
            <w:tcW w:w="1260"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w:t>
            </w:r>
          </w:p>
        </w:tc>
        <w:tc>
          <w:tcPr>
            <w:tcW w:w="1188"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w:t>
            </w:r>
          </w:p>
        </w:tc>
      </w:tr>
      <w:tr w:rsidR="006C17E1" w:rsidRPr="00472021" w:rsidTr="006C17E1">
        <w:tc>
          <w:tcPr>
            <w:tcW w:w="2268" w:type="dxa"/>
          </w:tcPr>
          <w:p w:rsidR="00C7751F" w:rsidRPr="00472021" w:rsidRDefault="00C7751F" w:rsidP="00C7751F">
            <w:pPr>
              <w:pStyle w:val="NoSpacing"/>
              <w:rPr>
                <w:rFonts w:ascii="Arial" w:hAnsi="Arial" w:cs="Arial"/>
                <w:sz w:val="18"/>
                <w:szCs w:val="18"/>
                <w:lang w:val="sq-AL"/>
              </w:rPr>
            </w:pPr>
            <w:r w:rsidRPr="00472021">
              <w:rPr>
                <w:rFonts w:ascii="Arial" w:hAnsi="Arial" w:cs="Arial"/>
                <w:sz w:val="18"/>
                <w:szCs w:val="18"/>
                <w:lang w:val="sq-AL"/>
              </w:rPr>
              <w:t>30.06.2019 – 30.09.2020</w:t>
            </w:r>
          </w:p>
        </w:tc>
        <w:tc>
          <w:tcPr>
            <w:tcW w:w="1260" w:type="dxa"/>
          </w:tcPr>
          <w:p w:rsidR="00C7751F" w:rsidRPr="00472021" w:rsidRDefault="00C7751F" w:rsidP="00800849">
            <w:pPr>
              <w:pStyle w:val="NoSpacing"/>
              <w:rPr>
                <w:rFonts w:ascii="Arial" w:hAnsi="Arial" w:cs="Arial"/>
                <w:sz w:val="18"/>
                <w:szCs w:val="18"/>
                <w:lang w:val="sq-AL"/>
              </w:rPr>
            </w:pPr>
            <w:r w:rsidRPr="00472021">
              <w:rPr>
                <w:rFonts w:ascii="Arial" w:hAnsi="Arial" w:cs="Arial"/>
                <w:sz w:val="18"/>
                <w:szCs w:val="18"/>
                <w:lang w:val="sq-AL"/>
              </w:rPr>
              <w:t>-</w:t>
            </w:r>
          </w:p>
        </w:tc>
        <w:tc>
          <w:tcPr>
            <w:tcW w:w="1170" w:type="dxa"/>
          </w:tcPr>
          <w:p w:rsidR="00C7751F" w:rsidRPr="00472021" w:rsidRDefault="00C7751F" w:rsidP="00800849">
            <w:pPr>
              <w:pStyle w:val="NoSpacing"/>
              <w:rPr>
                <w:rFonts w:ascii="Arial" w:hAnsi="Arial" w:cs="Arial"/>
                <w:sz w:val="18"/>
                <w:szCs w:val="18"/>
                <w:lang w:val="sq-AL"/>
              </w:rPr>
            </w:pPr>
            <w:r w:rsidRPr="00472021">
              <w:rPr>
                <w:rFonts w:ascii="Arial" w:hAnsi="Arial" w:cs="Arial"/>
                <w:sz w:val="18"/>
                <w:szCs w:val="18"/>
                <w:lang w:val="sq-AL"/>
              </w:rPr>
              <w:t>-</w:t>
            </w:r>
          </w:p>
        </w:tc>
        <w:tc>
          <w:tcPr>
            <w:tcW w:w="1260" w:type="dxa"/>
          </w:tcPr>
          <w:p w:rsidR="00C7751F" w:rsidRPr="00472021" w:rsidRDefault="00C7751F" w:rsidP="00800849">
            <w:pPr>
              <w:pStyle w:val="NoSpacing"/>
              <w:rPr>
                <w:rFonts w:ascii="Arial" w:hAnsi="Arial" w:cs="Arial"/>
                <w:sz w:val="18"/>
                <w:szCs w:val="18"/>
                <w:lang w:val="sq-AL"/>
              </w:rPr>
            </w:pPr>
            <w:r w:rsidRPr="00472021">
              <w:rPr>
                <w:rFonts w:ascii="Arial" w:hAnsi="Arial" w:cs="Arial"/>
                <w:sz w:val="18"/>
                <w:szCs w:val="18"/>
                <w:lang w:val="sq-AL"/>
              </w:rPr>
              <w:t>-</w:t>
            </w:r>
          </w:p>
        </w:tc>
        <w:tc>
          <w:tcPr>
            <w:tcW w:w="1170" w:type="dxa"/>
          </w:tcPr>
          <w:p w:rsidR="00C7751F" w:rsidRPr="00472021" w:rsidRDefault="00C7751F" w:rsidP="00800849">
            <w:pPr>
              <w:pStyle w:val="NoSpacing"/>
              <w:rPr>
                <w:rFonts w:ascii="Arial" w:hAnsi="Arial" w:cs="Arial"/>
                <w:sz w:val="18"/>
                <w:szCs w:val="18"/>
                <w:lang w:val="sq-AL"/>
              </w:rPr>
            </w:pPr>
            <w:r w:rsidRPr="00472021">
              <w:rPr>
                <w:rFonts w:ascii="Arial" w:hAnsi="Arial" w:cs="Arial"/>
                <w:sz w:val="18"/>
                <w:szCs w:val="18"/>
                <w:lang w:val="sq-AL"/>
              </w:rPr>
              <w:t>-</w:t>
            </w:r>
          </w:p>
        </w:tc>
        <w:tc>
          <w:tcPr>
            <w:tcW w:w="1260" w:type="dxa"/>
          </w:tcPr>
          <w:p w:rsidR="00C7751F" w:rsidRPr="00472021" w:rsidRDefault="00C7751F" w:rsidP="006C17E1">
            <w:pPr>
              <w:pStyle w:val="NoSpacing"/>
              <w:rPr>
                <w:rFonts w:ascii="Arial" w:hAnsi="Arial" w:cs="Arial"/>
                <w:sz w:val="18"/>
                <w:szCs w:val="18"/>
                <w:lang w:val="sq-AL"/>
              </w:rPr>
            </w:pPr>
            <w:r w:rsidRPr="00472021">
              <w:rPr>
                <w:rFonts w:ascii="Arial" w:hAnsi="Arial" w:cs="Arial"/>
                <w:sz w:val="18"/>
                <w:szCs w:val="18"/>
                <w:lang w:val="sq-AL"/>
              </w:rPr>
              <w:t>0,</w:t>
            </w:r>
            <w:r w:rsidR="006C17E1" w:rsidRPr="00472021">
              <w:rPr>
                <w:rFonts w:ascii="Arial" w:hAnsi="Arial" w:cs="Arial"/>
                <w:sz w:val="18"/>
                <w:szCs w:val="18"/>
                <w:lang w:val="sq-AL"/>
              </w:rPr>
              <w:t>08</w:t>
            </w:r>
            <w:r w:rsidRPr="00472021">
              <w:rPr>
                <w:rFonts w:ascii="Arial" w:hAnsi="Arial" w:cs="Arial"/>
                <w:sz w:val="18"/>
                <w:szCs w:val="18"/>
                <w:lang w:val="sq-AL"/>
              </w:rPr>
              <w:t>%</w:t>
            </w:r>
          </w:p>
        </w:tc>
        <w:tc>
          <w:tcPr>
            <w:tcW w:w="1188" w:type="dxa"/>
          </w:tcPr>
          <w:p w:rsidR="00C7751F" w:rsidRPr="00472021" w:rsidRDefault="00C7751F" w:rsidP="006C17E1">
            <w:pPr>
              <w:pStyle w:val="NoSpacing"/>
              <w:rPr>
                <w:rFonts w:ascii="Arial" w:hAnsi="Arial" w:cs="Arial"/>
                <w:sz w:val="18"/>
                <w:szCs w:val="18"/>
                <w:lang w:val="sq-AL"/>
              </w:rPr>
            </w:pPr>
            <w:r w:rsidRPr="00472021">
              <w:rPr>
                <w:rFonts w:ascii="Arial" w:hAnsi="Arial" w:cs="Arial"/>
                <w:sz w:val="18"/>
                <w:szCs w:val="18"/>
                <w:lang w:val="sq-AL"/>
              </w:rPr>
              <w:t>-</w:t>
            </w:r>
            <w:r w:rsidR="006C17E1" w:rsidRPr="00472021">
              <w:rPr>
                <w:rFonts w:ascii="Arial" w:hAnsi="Arial" w:cs="Arial"/>
                <w:sz w:val="18"/>
                <w:szCs w:val="18"/>
                <w:lang w:val="sq-AL"/>
              </w:rPr>
              <w:t>1</w:t>
            </w:r>
            <w:r w:rsidRPr="00472021">
              <w:rPr>
                <w:rFonts w:ascii="Arial" w:hAnsi="Arial" w:cs="Arial"/>
                <w:sz w:val="18"/>
                <w:szCs w:val="18"/>
                <w:lang w:val="sq-AL"/>
              </w:rPr>
              <w:t>,2</w:t>
            </w:r>
            <w:r w:rsidR="006C17E1" w:rsidRPr="00472021">
              <w:rPr>
                <w:rFonts w:ascii="Arial" w:hAnsi="Arial" w:cs="Arial"/>
                <w:sz w:val="18"/>
                <w:szCs w:val="18"/>
                <w:lang w:val="sq-AL"/>
              </w:rPr>
              <w:t>9</w:t>
            </w:r>
            <w:r w:rsidRPr="00472021">
              <w:rPr>
                <w:rFonts w:ascii="Arial" w:hAnsi="Arial" w:cs="Arial"/>
                <w:sz w:val="18"/>
                <w:szCs w:val="18"/>
                <w:lang w:val="sq-AL"/>
              </w:rPr>
              <w:t>%</w:t>
            </w:r>
          </w:p>
        </w:tc>
      </w:tr>
      <w:tr w:rsidR="006C17E1" w:rsidRPr="00472021" w:rsidTr="006C17E1">
        <w:tc>
          <w:tcPr>
            <w:tcW w:w="2268" w:type="dxa"/>
          </w:tcPr>
          <w:p w:rsidR="00C7751F" w:rsidRPr="00472021" w:rsidRDefault="00C7751F" w:rsidP="00927C13">
            <w:pPr>
              <w:pStyle w:val="NoSpacing"/>
              <w:rPr>
                <w:rFonts w:ascii="Arial" w:hAnsi="Arial" w:cs="Arial"/>
                <w:sz w:val="18"/>
                <w:szCs w:val="18"/>
                <w:lang w:val="sq-AL"/>
              </w:rPr>
            </w:pPr>
            <w:r w:rsidRPr="00472021">
              <w:rPr>
                <w:rFonts w:ascii="Arial" w:hAnsi="Arial" w:cs="Arial"/>
                <w:sz w:val="18"/>
                <w:szCs w:val="18"/>
                <w:lang w:val="sq-AL"/>
              </w:rPr>
              <w:t>31.12.2013 – 31.12.2020</w:t>
            </w:r>
          </w:p>
        </w:tc>
        <w:tc>
          <w:tcPr>
            <w:tcW w:w="1260" w:type="dxa"/>
          </w:tcPr>
          <w:p w:rsidR="00C7751F" w:rsidRPr="00472021" w:rsidRDefault="00C7751F" w:rsidP="006C17E1">
            <w:pPr>
              <w:pStyle w:val="NoSpacing"/>
              <w:rPr>
                <w:rFonts w:ascii="Arial" w:hAnsi="Arial" w:cs="Arial"/>
                <w:sz w:val="18"/>
                <w:szCs w:val="18"/>
                <w:lang w:val="sq-AL"/>
              </w:rPr>
            </w:pPr>
            <w:r w:rsidRPr="00472021">
              <w:rPr>
                <w:rFonts w:ascii="Arial" w:hAnsi="Arial" w:cs="Arial"/>
                <w:sz w:val="18"/>
                <w:szCs w:val="18"/>
                <w:lang w:val="sq-AL"/>
              </w:rPr>
              <w:t>5,</w:t>
            </w:r>
            <w:r w:rsidR="006C17E1" w:rsidRPr="00472021">
              <w:rPr>
                <w:rFonts w:ascii="Arial" w:hAnsi="Arial" w:cs="Arial"/>
                <w:sz w:val="18"/>
                <w:szCs w:val="18"/>
                <w:lang w:val="sq-AL"/>
              </w:rPr>
              <w:t>54</w:t>
            </w:r>
            <w:r w:rsidRPr="00472021">
              <w:rPr>
                <w:rFonts w:ascii="Arial" w:hAnsi="Arial" w:cs="Arial"/>
                <w:sz w:val="18"/>
                <w:szCs w:val="18"/>
                <w:lang w:val="sq-AL"/>
              </w:rPr>
              <w:t>%</w:t>
            </w:r>
          </w:p>
        </w:tc>
        <w:tc>
          <w:tcPr>
            <w:tcW w:w="1170" w:type="dxa"/>
          </w:tcPr>
          <w:p w:rsidR="00C7751F" w:rsidRPr="00472021" w:rsidRDefault="006C17E1" w:rsidP="00927C13">
            <w:pPr>
              <w:pStyle w:val="NoSpacing"/>
              <w:rPr>
                <w:rFonts w:ascii="Arial" w:hAnsi="Arial" w:cs="Arial"/>
                <w:sz w:val="18"/>
                <w:szCs w:val="18"/>
                <w:lang w:val="sq-AL"/>
              </w:rPr>
            </w:pPr>
            <w:r w:rsidRPr="00472021">
              <w:rPr>
                <w:rFonts w:ascii="Arial" w:hAnsi="Arial" w:cs="Arial"/>
                <w:sz w:val="18"/>
                <w:szCs w:val="18"/>
                <w:lang w:val="sq-AL"/>
              </w:rPr>
              <w:t>4,84%</w:t>
            </w:r>
          </w:p>
        </w:tc>
        <w:tc>
          <w:tcPr>
            <w:tcW w:w="1260" w:type="dxa"/>
          </w:tcPr>
          <w:p w:rsidR="00C7751F" w:rsidRPr="00472021" w:rsidRDefault="006C17E1" w:rsidP="00927C13">
            <w:pPr>
              <w:pStyle w:val="NoSpacing"/>
              <w:rPr>
                <w:rFonts w:ascii="Arial" w:hAnsi="Arial" w:cs="Arial"/>
                <w:sz w:val="18"/>
                <w:szCs w:val="18"/>
                <w:lang w:val="sq-AL"/>
              </w:rPr>
            </w:pPr>
            <w:r w:rsidRPr="00472021">
              <w:rPr>
                <w:rFonts w:ascii="Arial" w:hAnsi="Arial" w:cs="Arial"/>
                <w:sz w:val="18"/>
                <w:szCs w:val="18"/>
                <w:lang w:val="sq-AL"/>
              </w:rPr>
              <w:t>5,76%</w:t>
            </w:r>
          </w:p>
        </w:tc>
        <w:tc>
          <w:tcPr>
            <w:tcW w:w="1170" w:type="dxa"/>
          </w:tcPr>
          <w:p w:rsidR="00C7751F" w:rsidRPr="00472021" w:rsidRDefault="006C17E1" w:rsidP="006C17E1">
            <w:pPr>
              <w:pStyle w:val="NoSpacing"/>
              <w:rPr>
                <w:rFonts w:ascii="Arial" w:hAnsi="Arial" w:cs="Arial"/>
                <w:sz w:val="18"/>
                <w:szCs w:val="18"/>
                <w:lang w:val="sq-AL"/>
              </w:rPr>
            </w:pPr>
            <w:r w:rsidRPr="00472021">
              <w:rPr>
                <w:rFonts w:ascii="Arial" w:hAnsi="Arial" w:cs="Arial"/>
                <w:sz w:val="18"/>
                <w:szCs w:val="18"/>
                <w:lang w:val="sq-AL"/>
              </w:rPr>
              <w:t>5</w:t>
            </w:r>
            <w:r w:rsidR="00C7751F" w:rsidRPr="00472021">
              <w:rPr>
                <w:rFonts w:ascii="Arial" w:hAnsi="Arial" w:cs="Arial"/>
                <w:sz w:val="18"/>
                <w:szCs w:val="18"/>
                <w:lang w:val="sq-AL"/>
              </w:rPr>
              <w:t>,</w:t>
            </w:r>
            <w:r w:rsidRPr="00472021">
              <w:rPr>
                <w:rFonts w:ascii="Arial" w:hAnsi="Arial" w:cs="Arial"/>
                <w:sz w:val="18"/>
                <w:szCs w:val="18"/>
                <w:lang w:val="sq-AL"/>
              </w:rPr>
              <w:t>06</w:t>
            </w:r>
            <w:r w:rsidR="00C7751F" w:rsidRPr="00472021">
              <w:rPr>
                <w:rFonts w:ascii="Arial" w:hAnsi="Arial" w:cs="Arial"/>
                <w:sz w:val="18"/>
                <w:szCs w:val="18"/>
                <w:lang w:val="sq-AL"/>
              </w:rPr>
              <w:t>%</w:t>
            </w:r>
          </w:p>
        </w:tc>
        <w:tc>
          <w:tcPr>
            <w:tcW w:w="1260" w:type="dxa"/>
          </w:tcPr>
          <w:p w:rsidR="00C7751F" w:rsidRPr="00472021" w:rsidRDefault="006C17E1" w:rsidP="006C17E1">
            <w:pPr>
              <w:pStyle w:val="NoSpacing"/>
              <w:rPr>
                <w:rFonts w:ascii="Arial" w:hAnsi="Arial" w:cs="Arial"/>
                <w:sz w:val="18"/>
                <w:szCs w:val="18"/>
                <w:lang w:val="sq-AL"/>
              </w:rPr>
            </w:pPr>
            <w:r w:rsidRPr="00472021">
              <w:rPr>
                <w:rFonts w:ascii="Arial" w:hAnsi="Arial" w:cs="Arial"/>
                <w:sz w:val="18"/>
                <w:szCs w:val="18"/>
                <w:lang w:val="sq-AL"/>
              </w:rPr>
              <w:t>-</w:t>
            </w:r>
          </w:p>
        </w:tc>
        <w:tc>
          <w:tcPr>
            <w:tcW w:w="1188" w:type="dxa"/>
          </w:tcPr>
          <w:p w:rsidR="00C7751F" w:rsidRPr="00472021" w:rsidRDefault="006C17E1" w:rsidP="006C17E1">
            <w:pPr>
              <w:pStyle w:val="NoSpacing"/>
              <w:rPr>
                <w:rFonts w:ascii="Arial" w:hAnsi="Arial" w:cs="Arial"/>
                <w:sz w:val="18"/>
                <w:szCs w:val="18"/>
                <w:lang w:val="sq-AL"/>
              </w:rPr>
            </w:pPr>
            <w:r w:rsidRPr="00472021">
              <w:rPr>
                <w:rFonts w:ascii="Arial" w:hAnsi="Arial" w:cs="Arial"/>
                <w:sz w:val="18"/>
                <w:szCs w:val="18"/>
                <w:lang w:val="sq-AL"/>
              </w:rPr>
              <w:t>-</w:t>
            </w:r>
          </w:p>
        </w:tc>
      </w:tr>
      <w:tr w:rsidR="006C17E1" w:rsidRPr="00472021" w:rsidTr="006C17E1">
        <w:tc>
          <w:tcPr>
            <w:tcW w:w="2268" w:type="dxa"/>
          </w:tcPr>
          <w:p w:rsidR="006C17E1" w:rsidRPr="00472021" w:rsidRDefault="006C17E1" w:rsidP="006C17E1">
            <w:pPr>
              <w:pStyle w:val="NoSpacing"/>
              <w:rPr>
                <w:rFonts w:ascii="Arial" w:hAnsi="Arial" w:cs="Arial"/>
                <w:sz w:val="18"/>
                <w:szCs w:val="18"/>
                <w:lang w:val="sq-AL"/>
              </w:rPr>
            </w:pPr>
            <w:r w:rsidRPr="00472021">
              <w:rPr>
                <w:rFonts w:ascii="Arial" w:hAnsi="Arial" w:cs="Arial"/>
                <w:sz w:val="18"/>
                <w:szCs w:val="18"/>
                <w:lang w:val="sq-AL"/>
              </w:rPr>
              <w:t>30.06.2019 – 31.12.2020</w:t>
            </w:r>
          </w:p>
        </w:tc>
        <w:tc>
          <w:tcPr>
            <w:tcW w:w="1260" w:type="dxa"/>
          </w:tcPr>
          <w:p w:rsidR="006C17E1" w:rsidRPr="00472021" w:rsidRDefault="006C17E1" w:rsidP="00800849">
            <w:pPr>
              <w:pStyle w:val="NoSpacing"/>
              <w:rPr>
                <w:rFonts w:ascii="Arial" w:hAnsi="Arial" w:cs="Arial"/>
                <w:sz w:val="18"/>
                <w:szCs w:val="18"/>
                <w:lang w:val="sq-AL"/>
              </w:rPr>
            </w:pPr>
            <w:r w:rsidRPr="00472021">
              <w:rPr>
                <w:rFonts w:ascii="Arial" w:hAnsi="Arial" w:cs="Arial"/>
                <w:sz w:val="18"/>
                <w:szCs w:val="18"/>
                <w:lang w:val="sq-AL"/>
              </w:rPr>
              <w:t>-</w:t>
            </w:r>
          </w:p>
        </w:tc>
        <w:tc>
          <w:tcPr>
            <w:tcW w:w="1170" w:type="dxa"/>
          </w:tcPr>
          <w:p w:rsidR="006C17E1" w:rsidRPr="00472021" w:rsidRDefault="006C17E1" w:rsidP="00800849">
            <w:pPr>
              <w:pStyle w:val="NoSpacing"/>
              <w:rPr>
                <w:rFonts w:ascii="Arial" w:hAnsi="Arial" w:cs="Arial"/>
                <w:sz w:val="18"/>
                <w:szCs w:val="18"/>
                <w:lang w:val="sq-AL"/>
              </w:rPr>
            </w:pPr>
            <w:r w:rsidRPr="00472021">
              <w:rPr>
                <w:rFonts w:ascii="Arial" w:hAnsi="Arial" w:cs="Arial"/>
                <w:sz w:val="18"/>
                <w:szCs w:val="18"/>
                <w:lang w:val="sq-AL"/>
              </w:rPr>
              <w:t>-</w:t>
            </w:r>
          </w:p>
        </w:tc>
        <w:tc>
          <w:tcPr>
            <w:tcW w:w="1260" w:type="dxa"/>
          </w:tcPr>
          <w:p w:rsidR="006C17E1" w:rsidRPr="00472021" w:rsidRDefault="006C17E1" w:rsidP="00800849">
            <w:pPr>
              <w:pStyle w:val="NoSpacing"/>
              <w:rPr>
                <w:rFonts w:ascii="Arial" w:hAnsi="Arial" w:cs="Arial"/>
                <w:sz w:val="18"/>
                <w:szCs w:val="18"/>
                <w:lang w:val="sq-AL"/>
              </w:rPr>
            </w:pPr>
            <w:r w:rsidRPr="00472021">
              <w:rPr>
                <w:rFonts w:ascii="Arial" w:hAnsi="Arial" w:cs="Arial"/>
                <w:sz w:val="18"/>
                <w:szCs w:val="18"/>
                <w:lang w:val="sq-AL"/>
              </w:rPr>
              <w:t>-</w:t>
            </w:r>
          </w:p>
        </w:tc>
        <w:tc>
          <w:tcPr>
            <w:tcW w:w="1170" w:type="dxa"/>
          </w:tcPr>
          <w:p w:rsidR="006C17E1" w:rsidRPr="00472021" w:rsidRDefault="006C17E1" w:rsidP="00800849">
            <w:pPr>
              <w:pStyle w:val="NoSpacing"/>
              <w:rPr>
                <w:rFonts w:ascii="Arial" w:hAnsi="Arial" w:cs="Arial"/>
                <w:sz w:val="18"/>
                <w:szCs w:val="18"/>
                <w:lang w:val="sq-AL"/>
              </w:rPr>
            </w:pPr>
            <w:r w:rsidRPr="00472021">
              <w:rPr>
                <w:rFonts w:ascii="Arial" w:hAnsi="Arial" w:cs="Arial"/>
                <w:sz w:val="18"/>
                <w:szCs w:val="18"/>
                <w:lang w:val="sq-AL"/>
              </w:rPr>
              <w:t>-</w:t>
            </w:r>
          </w:p>
        </w:tc>
        <w:tc>
          <w:tcPr>
            <w:tcW w:w="1260" w:type="dxa"/>
          </w:tcPr>
          <w:p w:rsidR="006C17E1" w:rsidRPr="00472021" w:rsidRDefault="006C17E1" w:rsidP="006C17E1">
            <w:pPr>
              <w:pStyle w:val="NoSpacing"/>
              <w:rPr>
                <w:rFonts w:ascii="Arial" w:hAnsi="Arial" w:cs="Arial"/>
                <w:sz w:val="18"/>
                <w:szCs w:val="18"/>
                <w:lang w:val="sq-AL"/>
              </w:rPr>
            </w:pPr>
            <w:r w:rsidRPr="00472021">
              <w:rPr>
                <w:rFonts w:ascii="Arial" w:hAnsi="Arial" w:cs="Arial"/>
                <w:sz w:val="18"/>
                <w:szCs w:val="18"/>
                <w:lang w:val="sq-AL"/>
              </w:rPr>
              <w:t>0,97%</w:t>
            </w:r>
          </w:p>
        </w:tc>
        <w:tc>
          <w:tcPr>
            <w:tcW w:w="1188" w:type="dxa"/>
          </w:tcPr>
          <w:p w:rsidR="006C17E1" w:rsidRPr="00472021" w:rsidRDefault="006C17E1" w:rsidP="006C17E1">
            <w:pPr>
              <w:pStyle w:val="NoSpacing"/>
              <w:rPr>
                <w:rFonts w:ascii="Arial" w:hAnsi="Arial" w:cs="Arial"/>
                <w:sz w:val="18"/>
                <w:szCs w:val="18"/>
                <w:lang w:val="sq-AL"/>
              </w:rPr>
            </w:pPr>
            <w:r w:rsidRPr="00472021">
              <w:rPr>
                <w:rFonts w:ascii="Arial" w:hAnsi="Arial" w:cs="Arial"/>
                <w:sz w:val="18"/>
                <w:szCs w:val="18"/>
                <w:lang w:val="sq-AL"/>
              </w:rPr>
              <w:t>-0,49%</w:t>
            </w:r>
          </w:p>
        </w:tc>
      </w:tr>
      <w:tr w:rsidR="006C17E1" w:rsidRPr="00472021" w:rsidTr="002B5762">
        <w:tc>
          <w:tcPr>
            <w:tcW w:w="2268" w:type="dxa"/>
            <w:shd w:val="clear" w:color="auto" w:fill="808080" w:themeFill="background1" w:themeFillShade="80"/>
          </w:tcPr>
          <w:p w:rsidR="006C17E1" w:rsidRPr="00472021" w:rsidRDefault="006C17E1" w:rsidP="00927C13">
            <w:pPr>
              <w:pStyle w:val="NoSpacing"/>
              <w:rPr>
                <w:rFonts w:ascii="Arial" w:hAnsi="Arial" w:cs="Arial"/>
                <w:sz w:val="18"/>
                <w:szCs w:val="18"/>
                <w:lang w:val="sq-AL"/>
              </w:rPr>
            </w:pPr>
            <w:r w:rsidRPr="00472021">
              <w:rPr>
                <w:rFonts w:ascii="Arial" w:hAnsi="Arial" w:cs="Arial"/>
                <w:sz w:val="18"/>
                <w:szCs w:val="18"/>
                <w:lang w:val="sq-AL"/>
              </w:rPr>
              <w:t xml:space="preserve">         Fillimi – 31.12.2020</w:t>
            </w:r>
          </w:p>
        </w:tc>
        <w:tc>
          <w:tcPr>
            <w:tcW w:w="1260" w:type="dxa"/>
            <w:shd w:val="clear" w:color="auto" w:fill="808080" w:themeFill="background1" w:themeFillShade="80"/>
          </w:tcPr>
          <w:p w:rsidR="006C17E1" w:rsidRPr="00472021" w:rsidRDefault="006C17E1" w:rsidP="006C17E1">
            <w:pPr>
              <w:pStyle w:val="NoSpacing"/>
              <w:rPr>
                <w:rFonts w:ascii="Arial" w:hAnsi="Arial" w:cs="Arial"/>
                <w:sz w:val="18"/>
                <w:szCs w:val="18"/>
                <w:lang w:val="sq-AL"/>
              </w:rPr>
            </w:pPr>
            <w:r w:rsidRPr="00472021">
              <w:rPr>
                <w:rFonts w:ascii="Arial" w:hAnsi="Arial" w:cs="Arial"/>
                <w:sz w:val="18"/>
                <w:szCs w:val="18"/>
                <w:lang w:val="sq-AL"/>
              </w:rPr>
              <w:t>5,41%</w:t>
            </w:r>
          </w:p>
        </w:tc>
        <w:tc>
          <w:tcPr>
            <w:tcW w:w="1170" w:type="dxa"/>
            <w:shd w:val="clear" w:color="auto" w:fill="808080" w:themeFill="background1" w:themeFillShade="80"/>
          </w:tcPr>
          <w:p w:rsidR="006C17E1" w:rsidRPr="00472021" w:rsidRDefault="006C17E1" w:rsidP="00927C13">
            <w:pPr>
              <w:pStyle w:val="NoSpacing"/>
              <w:rPr>
                <w:rFonts w:ascii="Arial" w:hAnsi="Arial" w:cs="Arial"/>
                <w:sz w:val="18"/>
                <w:szCs w:val="18"/>
                <w:lang w:val="sq-AL"/>
              </w:rPr>
            </w:pPr>
            <w:r w:rsidRPr="00472021">
              <w:rPr>
                <w:rFonts w:ascii="Arial" w:hAnsi="Arial" w:cs="Arial"/>
                <w:sz w:val="18"/>
                <w:szCs w:val="18"/>
                <w:lang w:val="sq-AL"/>
              </w:rPr>
              <w:t>3,44%</w:t>
            </w:r>
          </w:p>
        </w:tc>
        <w:tc>
          <w:tcPr>
            <w:tcW w:w="1260" w:type="dxa"/>
            <w:shd w:val="clear" w:color="auto" w:fill="808080" w:themeFill="background1" w:themeFillShade="80"/>
          </w:tcPr>
          <w:p w:rsidR="006C17E1" w:rsidRPr="00472021" w:rsidRDefault="006C17E1" w:rsidP="00927C13">
            <w:pPr>
              <w:pStyle w:val="NoSpacing"/>
              <w:rPr>
                <w:rFonts w:ascii="Arial" w:hAnsi="Arial" w:cs="Arial"/>
                <w:sz w:val="18"/>
                <w:szCs w:val="18"/>
                <w:lang w:val="sq-AL"/>
              </w:rPr>
            </w:pPr>
            <w:r w:rsidRPr="00472021">
              <w:rPr>
                <w:rFonts w:ascii="Arial" w:hAnsi="Arial" w:cs="Arial"/>
                <w:sz w:val="18"/>
                <w:szCs w:val="18"/>
                <w:lang w:val="sq-AL"/>
              </w:rPr>
              <w:t>5,63%</w:t>
            </w:r>
          </w:p>
        </w:tc>
        <w:tc>
          <w:tcPr>
            <w:tcW w:w="1170" w:type="dxa"/>
            <w:shd w:val="clear" w:color="auto" w:fill="808080" w:themeFill="background1" w:themeFillShade="80"/>
          </w:tcPr>
          <w:p w:rsidR="006C17E1" w:rsidRPr="00472021" w:rsidRDefault="006C17E1" w:rsidP="006C17E1">
            <w:pPr>
              <w:pStyle w:val="NoSpacing"/>
              <w:rPr>
                <w:rFonts w:ascii="Arial" w:hAnsi="Arial" w:cs="Arial"/>
                <w:sz w:val="18"/>
                <w:szCs w:val="18"/>
                <w:lang w:val="sq-AL"/>
              </w:rPr>
            </w:pPr>
            <w:r w:rsidRPr="00472021">
              <w:rPr>
                <w:rFonts w:ascii="Arial" w:hAnsi="Arial" w:cs="Arial"/>
                <w:sz w:val="18"/>
                <w:szCs w:val="18"/>
                <w:lang w:val="sq-AL"/>
              </w:rPr>
              <w:t>3,66%</w:t>
            </w:r>
          </w:p>
        </w:tc>
        <w:tc>
          <w:tcPr>
            <w:tcW w:w="1260" w:type="dxa"/>
            <w:shd w:val="clear" w:color="auto" w:fill="808080" w:themeFill="background1" w:themeFillShade="80"/>
          </w:tcPr>
          <w:p w:rsidR="006C17E1" w:rsidRPr="00472021" w:rsidRDefault="006C17E1" w:rsidP="006C17E1">
            <w:pPr>
              <w:pStyle w:val="NoSpacing"/>
              <w:rPr>
                <w:rFonts w:ascii="Arial" w:hAnsi="Arial" w:cs="Arial"/>
                <w:sz w:val="18"/>
                <w:szCs w:val="18"/>
                <w:lang w:val="sq-AL"/>
              </w:rPr>
            </w:pPr>
            <w:r w:rsidRPr="00472021">
              <w:rPr>
                <w:rFonts w:ascii="Arial" w:hAnsi="Arial" w:cs="Arial"/>
                <w:sz w:val="18"/>
                <w:szCs w:val="18"/>
                <w:lang w:val="sq-AL"/>
              </w:rPr>
              <w:t>0,95%</w:t>
            </w:r>
          </w:p>
        </w:tc>
        <w:tc>
          <w:tcPr>
            <w:tcW w:w="1188" w:type="dxa"/>
            <w:shd w:val="clear" w:color="auto" w:fill="808080" w:themeFill="background1" w:themeFillShade="80"/>
          </w:tcPr>
          <w:p w:rsidR="006C17E1" w:rsidRPr="00472021" w:rsidRDefault="006C17E1" w:rsidP="006C17E1">
            <w:pPr>
              <w:pStyle w:val="NoSpacing"/>
              <w:rPr>
                <w:rFonts w:ascii="Arial" w:hAnsi="Arial" w:cs="Arial"/>
                <w:sz w:val="18"/>
                <w:szCs w:val="18"/>
                <w:lang w:val="sq-AL"/>
              </w:rPr>
            </w:pPr>
            <w:r w:rsidRPr="00472021">
              <w:rPr>
                <w:rFonts w:ascii="Arial" w:hAnsi="Arial" w:cs="Arial"/>
                <w:sz w:val="18"/>
                <w:szCs w:val="18"/>
                <w:lang w:val="sq-AL"/>
              </w:rPr>
              <w:t>-0,40%</w:t>
            </w:r>
          </w:p>
        </w:tc>
      </w:tr>
    </w:tbl>
    <w:p w:rsidR="002C3BA3" w:rsidRPr="00472021" w:rsidRDefault="002C3BA3" w:rsidP="002C3BA3">
      <w:pPr>
        <w:pStyle w:val="NoSpacing"/>
        <w:rPr>
          <w:rFonts w:ascii="Arial" w:hAnsi="Arial" w:cs="Arial"/>
          <w:sz w:val="24"/>
          <w:szCs w:val="24"/>
          <w:lang w:val="sq-AL"/>
        </w:rPr>
      </w:pPr>
    </w:p>
    <w:p w:rsidR="006E0269" w:rsidRPr="00472021" w:rsidRDefault="006E0269" w:rsidP="002C3BA3">
      <w:pPr>
        <w:pStyle w:val="NoSpacing"/>
        <w:rPr>
          <w:rFonts w:ascii="Arial" w:hAnsi="Arial" w:cs="Arial"/>
          <w:sz w:val="24"/>
          <w:szCs w:val="24"/>
          <w:lang w:val="sq-AL"/>
        </w:rPr>
      </w:pPr>
    </w:p>
    <w:p w:rsidR="00EF474C" w:rsidRPr="00472021" w:rsidRDefault="00EF474C" w:rsidP="00E56A70">
      <w:pPr>
        <w:pStyle w:val="NoSpacing"/>
        <w:jc w:val="both"/>
        <w:rPr>
          <w:rFonts w:ascii="Arial" w:hAnsi="Arial" w:cs="Arial"/>
          <w:sz w:val="24"/>
          <w:szCs w:val="24"/>
          <w:lang w:val="sq-AL"/>
        </w:rPr>
      </w:pPr>
      <w:r w:rsidRPr="00472021">
        <w:rPr>
          <w:rFonts w:ascii="Arial" w:hAnsi="Arial" w:cs="Arial"/>
          <w:sz w:val="24"/>
          <w:szCs w:val="24"/>
          <w:lang w:val="sq-AL"/>
        </w:rPr>
        <w:tab/>
        <w:t xml:space="preserve">Kontributi </w:t>
      </w:r>
      <w:r w:rsidR="00591DF5" w:rsidRPr="00472021">
        <w:rPr>
          <w:rFonts w:ascii="Arial" w:hAnsi="Arial" w:cs="Arial"/>
          <w:sz w:val="24"/>
          <w:szCs w:val="24"/>
          <w:lang w:val="sq-AL"/>
        </w:rPr>
        <w:t xml:space="preserve">në llogarinë </w:t>
      </w:r>
      <w:r w:rsidRPr="00472021">
        <w:rPr>
          <w:rFonts w:ascii="Arial" w:hAnsi="Arial" w:cs="Arial"/>
          <w:sz w:val="24"/>
          <w:szCs w:val="24"/>
          <w:lang w:val="sq-AL"/>
        </w:rPr>
        <w:t>i</w:t>
      </w:r>
      <w:r w:rsidR="00591DF5" w:rsidRPr="00472021">
        <w:rPr>
          <w:rFonts w:ascii="Arial" w:hAnsi="Arial" w:cs="Arial"/>
          <w:sz w:val="24"/>
          <w:szCs w:val="24"/>
          <w:lang w:val="sq-AL"/>
        </w:rPr>
        <w:t xml:space="preserve">ndividuale është i ndryshueshëm dhe varet nga kontributi i fondit </w:t>
      </w:r>
      <w:r w:rsidR="00EC4716" w:rsidRPr="00472021">
        <w:rPr>
          <w:rFonts w:ascii="Arial" w:hAnsi="Arial" w:cs="Arial"/>
          <w:sz w:val="24"/>
          <w:szCs w:val="24"/>
          <w:lang w:val="sq-AL"/>
        </w:rPr>
        <w:t xml:space="preserve">të detyrueshëm </w:t>
      </w:r>
      <w:r w:rsidR="00591DF5" w:rsidRPr="00472021">
        <w:rPr>
          <w:rFonts w:ascii="Arial" w:hAnsi="Arial" w:cs="Arial"/>
          <w:sz w:val="24"/>
          <w:szCs w:val="24"/>
          <w:lang w:val="sq-AL"/>
        </w:rPr>
        <w:t xml:space="preserve">pensional dhe nga kompensimet e arkëtuara nga shoqëria. </w:t>
      </w:r>
      <w:r w:rsidRPr="00472021">
        <w:rPr>
          <w:rFonts w:ascii="Arial" w:hAnsi="Arial" w:cs="Arial"/>
          <w:sz w:val="24"/>
          <w:szCs w:val="24"/>
          <w:lang w:val="sq-AL"/>
        </w:rPr>
        <w:t xml:space="preserve"> </w:t>
      </w:r>
    </w:p>
    <w:p w:rsidR="0004666C" w:rsidRPr="00472021" w:rsidRDefault="0004666C" w:rsidP="002C3BA3">
      <w:pPr>
        <w:pStyle w:val="NoSpacing"/>
        <w:rPr>
          <w:rFonts w:ascii="Arial" w:hAnsi="Arial" w:cs="Arial"/>
          <w:sz w:val="24"/>
          <w:szCs w:val="24"/>
          <w:lang w:val="sq-AL"/>
        </w:rPr>
      </w:pPr>
    </w:p>
    <w:p w:rsidR="0004666C" w:rsidRPr="00472021" w:rsidRDefault="0004666C" w:rsidP="00AF142E">
      <w:pPr>
        <w:pStyle w:val="NoSpacing"/>
        <w:jc w:val="both"/>
        <w:rPr>
          <w:rFonts w:ascii="Arial" w:hAnsi="Arial" w:cs="Arial"/>
          <w:sz w:val="24"/>
          <w:szCs w:val="24"/>
          <w:lang w:val="sq-AL"/>
        </w:rPr>
      </w:pPr>
      <w:r w:rsidRPr="00472021">
        <w:rPr>
          <w:rFonts w:ascii="Arial" w:hAnsi="Arial" w:cs="Arial"/>
          <w:sz w:val="24"/>
          <w:szCs w:val="24"/>
          <w:lang w:val="sq-AL"/>
        </w:rPr>
        <w:tab/>
      </w:r>
      <w:r w:rsidRPr="00472021">
        <w:rPr>
          <w:rFonts w:ascii="Arial" w:hAnsi="Arial" w:cs="Arial"/>
          <w:i/>
          <w:sz w:val="24"/>
          <w:szCs w:val="24"/>
          <w:lang w:val="sq-AL"/>
        </w:rPr>
        <w:t xml:space="preserve">Shënim: Kontributi llogaritet në bazë vjetore për 84 muajt paraprak. Me përjashtim, nëse fondi ekziston më shkurt se 84 muaj, por më gjatë se 12 muaj, kontributi llogaritet në fund të tremujorit, </w:t>
      </w:r>
      <w:r w:rsidR="009D7620" w:rsidRPr="00472021">
        <w:rPr>
          <w:rFonts w:ascii="Arial" w:hAnsi="Arial" w:cs="Arial"/>
          <w:i/>
          <w:sz w:val="24"/>
          <w:szCs w:val="24"/>
          <w:lang w:val="sq-AL"/>
        </w:rPr>
        <w:t>për periudhën nga 1 qershor, përkatësisht dhjetor pas themelimit të fondit deri në fund të tremujorit kur bëhet llogaritja</w:t>
      </w:r>
      <w:r w:rsidR="009D7620" w:rsidRPr="00472021">
        <w:rPr>
          <w:rFonts w:ascii="Arial" w:hAnsi="Arial" w:cs="Arial"/>
          <w:sz w:val="24"/>
          <w:szCs w:val="24"/>
          <w:lang w:val="sq-AL"/>
        </w:rPr>
        <w:t xml:space="preserve">. </w:t>
      </w:r>
    </w:p>
    <w:sectPr w:rsidR="0004666C" w:rsidRPr="00472021" w:rsidSect="004719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63" w:rsidRDefault="00195063" w:rsidP="006E0269">
      <w:pPr>
        <w:pStyle w:val="NoSpacing"/>
      </w:pPr>
      <w:r>
        <w:separator/>
      </w:r>
    </w:p>
  </w:endnote>
  <w:endnote w:type="continuationSeparator" w:id="0">
    <w:p w:rsidR="00195063" w:rsidRDefault="00195063" w:rsidP="006E0269">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63" w:rsidRDefault="00195063" w:rsidP="006E0269">
      <w:pPr>
        <w:pStyle w:val="NoSpacing"/>
      </w:pPr>
      <w:r>
        <w:separator/>
      </w:r>
    </w:p>
  </w:footnote>
  <w:footnote w:type="continuationSeparator" w:id="0">
    <w:p w:rsidR="00195063" w:rsidRDefault="00195063" w:rsidP="006E0269">
      <w:pPr>
        <w:pStyle w:val="NoSpacing"/>
      </w:pPr>
      <w:r>
        <w:continuationSeparator/>
      </w:r>
    </w:p>
  </w:footnote>
  <w:footnote w:id="1">
    <w:p w:rsidR="00C7751F" w:rsidRPr="00A62DB9" w:rsidRDefault="00C7751F" w:rsidP="00AF142E">
      <w:pPr>
        <w:pStyle w:val="FootnoteText"/>
        <w:jc w:val="both"/>
        <w:rPr>
          <w:rFonts w:ascii="Arial" w:hAnsi="Arial" w:cs="Arial"/>
          <w:lang w:val="sq-AL"/>
        </w:rPr>
      </w:pPr>
      <w:r w:rsidRPr="00A62DB9">
        <w:rPr>
          <w:rStyle w:val="FootnoteReference"/>
          <w:rFonts w:ascii="Arial" w:hAnsi="Arial" w:cs="Arial"/>
          <w:lang w:val="sq-AL"/>
        </w:rPr>
        <w:footnoteRef/>
      </w:r>
      <w:r w:rsidRPr="00A62DB9">
        <w:rPr>
          <w:rFonts w:ascii="Arial" w:hAnsi="Arial" w:cs="Arial"/>
          <w:lang w:val="sq-AL"/>
        </w:rPr>
        <w:t xml:space="preserve"> </w:t>
      </w:r>
      <w:r w:rsidR="0004666C" w:rsidRPr="00A62DB9">
        <w:rPr>
          <w:rFonts w:ascii="Arial" w:hAnsi="Arial" w:cs="Arial"/>
          <w:lang w:val="sq-AL"/>
        </w:rPr>
        <w:t>Fillimi me punë i</w:t>
      </w:r>
      <w:r w:rsidRPr="00A62DB9">
        <w:rPr>
          <w:rFonts w:ascii="Arial" w:hAnsi="Arial" w:cs="Arial"/>
          <w:lang w:val="sq-AL"/>
        </w:rPr>
        <w:t xml:space="preserve"> Fondi</w:t>
      </w:r>
      <w:r w:rsidR="0004666C" w:rsidRPr="00A62DB9">
        <w:rPr>
          <w:rFonts w:ascii="Arial" w:hAnsi="Arial" w:cs="Arial"/>
          <w:lang w:val="sq-AL"/>
        </w:rPr>
        <w:t>t të</w:t>
      </w:r>
      <w:r w:rsidRPr="00A62DB9">
        <w:rPr>
          <w:rFonts w:ascii="Arial" w:hAnsi="Arial" w:cs="Arial"/>
          <w:lang w:val="sq-AL"/>
        </w:rPr>
        <w:t xml:space="preserve"> hapur </w:t>
      </w:r>
      <w:r w:rsidR="0004666C" w:rsidRPr="00A62DB9">
        <w:rPr>
          <w:rFonts w:ascii="Arial" w:hAnsi="Arial" w:cs="Arial"/>
          <w:lang w:val="sq-AL"/>
        </w:rPr>
        <w:t xml:space="preserve">të detyrueshëm </w:t>
      </w:r>
      <w:r w:rsidRPr="00A62DB9">
        <w:rPr>
          <w:rFonts w:ascii="Arial" w:hAnsi="Arial" w:cs="Arial"/>
          <w:lang w:val="sq-AL"/>
        </w:rPr>
        <w:t xml:space="preserve">pensional Sava Pension Plus </w:t>
      </w:r>
      <w:r w:rsidR="0004666C" w:rsidRPr="00A62DB9">
        <w:rPr>
          <w:rFonts w:ascii="Arial" w:hAnsi="Arial" w:cs="Arial"/>
          <w:lang w:val="sq-AL"/>
        </w:rPr>
        <w:t>është</w:t>
      </w:r>
      <w:r w:rsidRPr="00A62DB9">
        <w:rPr>
          <w:rFonts w:ascii="Arial" w:hAnsi="Arial" w:cs="Arial"/>
          <w:lang w:val="sq-AL"/>
        </w:rPr>
        <w:t xml:space="preserve"> 1.</w:t>
      </w:r>
      <w:r w:rsidR="0004666C" w:rsidRPr="00A62DB9">
        <w:rPr>
          <w:rFonts w:ascii="Arial" w:hAnsi="Arial" w:cs="Arial"/>
          <w:lang w:val="sq-AL"/>
        </w:rPr>
        <w:t>1</w:t>
      </w:r>
      <w:r w:rsidRPr="00A62DB9">
        <w:rPr>
          <w:rFonts w:ascii="Arial" w:hAnsi="Arial" w:cs="Arial"/>
          <w:lang w:val="sq-AL"/>
        </w:rPr>
        <w:t>.200</w:t>
      </w:r>
      <w:r w:rsidR="0004666C" w:rsidRPr="00A62DB9">
        <w:rPr>
          <w:rFonts w:ascii="Arial" w:hAnsi="Arial" w:cs="Arial"/>
          <w:lang w:val="sq-AL"/>
        </w:rPr>
        <w:t>6</w:t>
      </w:r>
      <w:r w:rsidRPr="00A62DB9">
        <w:rPr>
          <w:rFonts w:ascii="Arial" w:hAnsi="Arial" w:cs="Arial"/>
          <w:lang w:val="sq-AL"/>
        </w:rPr>
        <w:t>.</w:t>
      </w:r>
    </w:p>
  </w:footnote>
  <w:footnote w:id="2">
    <w:p w:rsidR="00C7751F" w:rsidRPr="00A62DB9" w:rsidRDefault="00C7751F" w:rsidP="00AF142E">
      <w:pPr>
        <w:pStyle w:val="FootnoteText"/>
        <w:jc w:val="both"/>
        <w:rPr>
          <w:rFonts w:ascii="Arial" w:hAnsi="Arial" w:cs="Arial"/>
          <w:lang w:val="sq-AL"/>
        </w:rPr>
      </w:pPr>
      <w:r w:rsidRPr="00A62DB9">
        <w:rPr>
          <w:rStyle w:val="FootnoteReference"/>
          <w:rFonts w:ascii="Arial" w:hAnsi="Arial" w:cs="Arial"/>
          <w:lang w:val="sq-AL"/>
        </w:rPr>
        <w:footnoteRef/>
      </w:r>
      <w:r w:rsidRPr="00A62DB9">
        <w:rPr>
          <w:rFonts w:ascii="Arial" w:hAnsi="Arial" w:cs="Arial"/>
          <w:lang w:val="sq-AL"/>
        </w:rPr>
        <w:t xml:space="preserve"> </w:t>
      </w:r>
      <w:r w:rsidR="0004666C" w:rsidRPr="00A62DB9">
        <w:rPr>
          <w:rFonts w:ascii="Arial" w:hAnsi="Arial" w:cs="Arial"/>
          <w:lang w:val="sq-AL"/>
        </w:rPr>
        <w:t>Fillimi me punë i</w:t>
      </w:r>
      <w:r w:rsidRPr="00A62DB9">
        <w:rPr>
          <w:rFonts w:ascii="Arial" w:hAnsi="Arial" w:cs="Arial"/>
          <w:lang w:val="sq-AL"/>
        </w:rPr>
        <w:t xml:space="preserve"> KB Fondi </w:t>
      </w:r>
      <w:r w:rsidR="0004666C" w:rsidRPr="00A62DB9">
        <w:rPr>
          <w:rFonts w:ascii="Arial" w:hAnsi="Arial" w:cs="Arial"/>
          <w:lang w:val="sq-AL"/>
        </w:rPr>
        <w:t>i</w:t>
      </w:r>
      <w:r w:rsidRPr="00A62DB9">
        <w:rPr>
          <w:rFonts w:ascii="Arial" w:hAnsi="Arial" w:cs="Arial"/>
          <w:lang w:val="sq-AL"/>
        </w:rPr>
        <w:t xml:space="preserve"> parë </w:t>
      </w:r>
      <w:r w:rsidR="0004666C" w:rsidRPr="00A62DB9">
        <w:rPr>
          <w:rFonts w:ascii="Arial" w:hAnsi="Arial" w:cs="Arial"/>
          <w:lang w:val="sq-AL"/>
        </w:rPr>
        <w:t>i</w:t>
      </w:r>
      <w:r w:rsidRPr="00A62DB9">
        <w:rPr>
          <w:rFonts w:ascii="Arial" w:hAnsi="Arial" w:cs="Arial"/>
          <w:lang w:val="sq-AL"/>
        </w:rPr>
        <w:t xml:space="preserve"> hapur </w:t>
      </w:r>
      <w:r w:rsidR="0004666C" w:rsidRPr="00A62DB9">
        <w:rPr>
          <w:rFonts w:ascii="Arial" w:hAnsi="Arial" w:cs="Arial"/>
          <w:lang w:val="sq-AL"/>
        </w:rPr>
        <w:t xml:space="preserve">i detyrueshëm </w:t>
      </w:r>
      <w:r w:rsidRPr="00A62DB9">
        <w:rPr>
          <w:rFonts w:ascii="Arial" w:hAnsi="Arial" w:cs="Arial"/>
          <w:lang w:val="sq-AL"/>
        </w:rPr>
        <w:t xml:space="preserve">pensional </w:t>
      </w:r>
      <w:r w:rsidR="0004666C" w:rsidRPr="00A62DB9">
        <w:rPr>
          <w:rFonts w:ascii="Arial" w:hAnsi="Arial" w:cs="Arial"/>
          <w:lang w:val="sq-AL"/>
        </w:rPr>
        <w:t>–</w:t>
      </w:r>
      <w:r w:rsidRPr="00A62DB9">
        <w:rPr>
          <w:rFonts w:ascii="Arial" w:hAnsi="Arial" w:cs="Arial"/>
          <w:lang w:val="sq-AL"/>
        </w:rPr>
        <w:t xml:space="preserve"> Shkup</w:t>
      </w:r>
      <w:r w:rsidR="0004666C" w:rsidRPr="00A62DB9">
        <w:rPr>
          <w:rFonts w:ascii="Arial" w:hAnsi="Arial" w:cs="Arial"/>
          <w:lang w:val="sq-AL"/>
        </w:rPr>
        <w:t xml:space="preserve"> është</w:t>
      </w:r>
      <w:r w:rsidRPr="00A62DB9">
        <w:rPr>
          <w:rFonts w:ascii="Arial" w:hAnsi="Arial" w:cs="Arial"/>
          <w:lang w:val="sq-AL"/>
        </w:rPr>
        <w:t xml:space="preserve"> 1.1.200</w:t>
      </w:r>
      <w:r w:rsidR="0004666C" w:rsidRPr="00A62DB9">
        <w:rPr>
          <w:rFonts w:ascii="Arial" w:hAnsi="Arial" w:cs="Arial"/>
          <w:lang w:val="sq-AL"/>
        </w:rPr>
        <w:t>6</w:t>
      </w:r>
      <w:r w:rsidRPr="00A62DB9">
        <w:rPr>
          <w:rFonts w:ascii="Arial" w:hAnsi="Arial" w:cs="Arial"/>
          <w:lang w:val="sq-AL"/>
        </w:rPr>
        <w:t>.</w:t>
      </w:r>
    </w:p>
  </w:footnote>
  <w:footnote w:id="3">
    <w:p w:rsidR="00EC4716" w:rsidRPr="00EC4716" w:rsidRDefault="00EC4716" w:rsidP="00AF142E">
      <w:pPr>
        <w:pStyle w:val="FootnoteText"/>
        <w:jc w:val="both"/>
        <w:rPr>
          <w:lang w:val="sq-AL"/>
        </w:rPr>
      </w:pPr>
      <w:r w:rsidRPr="00A62DB9">
        <w:rPr>
          <w:rStyle w:val="FootnoteReference"/>
          <w:rFonts w:ascii="Arial" w:hAnsi="Arial" w:cs="Arial"/>
          <w:lang w:val="sq-AL"/>
        </w:rPr>
        <w:footnoteRef/>
      </w:r>
      <w:r w:rsidRPr="00A62DB9">
        <w:rPr>
          <w:rFonts w:ascii="Arial" w:hAnsi="Arial" w:cs="Arial"/>
          <w:lang w:val="sq-AL"/>
        </w:rPr>
        <w:t xml:space="preserve"> Fillimi me punë i Triglav Fondi i hapur i detyrueshëm pensional – Shkup është 1.4.2019.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A3"/>
    <w:rsid w:val="0004666C"/>
    <w:rsid w:val="00074810"/>
    <w:rsid w:val="00195063"/>
    <w:rsid w:val="00215B68"/>
    <w:rsid w:val="002B5762"/>
    <w:rsid w:val="002C3BA3"/>
    <w:rsid w:val="003D69D9"/>
    <w:rsid w:val="00403ACD"/>
    <w:rsid w:val="004719B5"/>
    <w:rsid w:val="00472021"/>
    <w:rsid w:val="00591DF5"/>
    <w:rsid w:val="006C17E1"/>
    <w:rsid w:val="006E0269"/>
    <w:rsid w:val="007069D4"/>
    <w:rsid w:val="00927C13"/>
    <w:rsid w:val="009D7620"/>
    <w:rsid w:val="00A62DB9"/>
    <w:rsid w:val="00AF142E"/>
    <w:rsid w:val="00B548E3"/>
    <w:rsid w:val="00C7751F"/>
    <w:rsid w:val="00DD1A94"/>
    <w:rsid w:val="00E56A70"/>
    <w:rsid w:val="00EC4716"/>
    <w:rsid w:val="00EF474C"/>
    <w:rsid w:val="00E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45012-DE19-4721-A5E8-504BFDB9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BA3"/>
    <w:pPr>
      <w:spacing w:after="0" w:line="240" w:lineRule="auto"/>
    </w:pPr>
  </w:style>
  <w:style w:type="table" w:styleId="TableGrid">
    <w:name w:val="Table Grid"/>
    <w:basedOn w:val="TableNormal"/>
    <w:uiPriority w:val="59"/>
    <w:rsid w:val="00927C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6E0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269"/>
    <w:rPr>
      <w:sz w:val="20"/>
      <w:szCs w:val="20"/>
    </w:rPr>
  </w:style>
  <w:style w:type="character" w:styleId="FootnoteReference">
    <w:name w:val="footnote reference"/>
    <w:basedOn w:val="DefaultParagraphFont"/>
    <w:uiPriority w:val="99"/>
    <w:semiHidden/>
    <w:unhideWhenUsed/>
    <w:rsid w:val="006E0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70D3-3026-4887-A81B-01759331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blerim</dc:creator>
  <cp:lastModifiedBy>user</cp:lastModifiedBy>
  <cp:revision>8</cp:revision>
  <dcterms:created xsi:type="dcterms:W3CDTF">2023-01-05T07:07:00Z</dcterms:created>
  <dcterms:modified xsi:type="dcterms:W3CDTF">2023-01-30T09:48:00Z</dcterms:modified>
</cp:coreProperties>
</file>