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60" w:rsidRPr="00FD2FC4" w:rsidRDefault="00AA1502">
      <w:pPr>
        <w:shd w:val="clear" w:color="auto" w:fill="B8CCE4"/>
        <w:spacing w:after="432" w:line="259" w:lineRule="auto"/>
        <w:ind w:left="126" w:firstLine="0"/>
        <w:jc w:val="center"/>
        <w:rPr>
          <w:lang w:val="sq-AL"/>
        </w:rPr>
      </w:pPr>
      <w:bookmarkStart w:id="0" w:name="_GoBack"/>
      <w:r w:rsidRPr="00FD2FC4">
        <w:rPr>
          <w:b/>
          <w:lang w:val="sq-AL"/>
        </w:rPr>
        <w:t>Fonde të mëdha pensionale</w:t>
      </w:r>
    </w:p>
    <w:tbl>
      <w:tblPr>
        <w:tblStyle w:val="TableGrid"/>
        <w:tblW w:w="9590" w:type="dxa"/>
        <w:tblInd w:w="-46" w:type="dxa"/>
        <w:tblCellMar>
          <w:top w:w="25" w:type="dxa"/>
          <w:left w:w="46" w:type="dxa"/>
          <w:bottom w:w="0" w:type="dxa"/>
          <w:right w:w="46" w:type="dxa"/>
        </w:tblCellMar>
        <w:tblLook w:val="04A0" w:firstRow="1" w:lastRow="0" w:firstColumn="1" w:lastColumn="0" w:noHBand="0" w:noVBand="1"/>
      </w:tblPr>
      <w:tblGrid>
        <w:gridCol w:w="1241"/>
        <w:gridCol w:w="8349"/>
      </w:tblGrid>
      <w:tr w:rsidR="00612A60" w:rsidRPr="00FD2FC4">
        <w:trPr>
          <w:trHeight w:val="334"/>
        </w:trPr>
        <w:tc>
          <w:tcPr>
            <w:tcW w:w="1241" w:type="dxa"/>
            <w:tcBorders>
              <w:top w:val="single" w:sz="8" w:space="0" w:color="000000"/>
              <w:left w:val="single" w:sz="8" w:space="0" w:color="000000"/>
              <w:bottom w:val="single" w:sz="8" w:space="0" w:color="000000"/>
              <w:right w:val="single" w:sz="8" w:space="0" w:color="000000"/>
            </w:tcBorders>
          </w:tcPr>
          <w:p w:rsidR="00612A60" w:rsidRPr="00FD2FC4" w:rsidRDefault="00AA1502">
            <w:pPr>
              <w:pBdr>
                <w:top w:val="none" w:sz="0" w:space="0" w:color="auto"/>
                <w:left w:val="none" w:sz="0" w:space="0" w:color="auto"/>
                <w:bottom w:val="none" w:sz="0" w:space="0" w:color="auto"/>
                <w:right w:val="none" w:sz="0" w:space="0" w:color="auto"/>
              </w:pBdr>
              <w:shd w:val="clear" w:color="auto" w:fill="auto"/>
              <w:spacing w:after="0" w:line="259" w:lineRule="auto"/>
              <w:ind w:left="0" w:firstLine="0"/>
              <w:rPr>
                <w:lang w:val="sq-AL"/>
              </w:rPr>
            </w:pPr>
            <w:r w:rsidRPr="00FD2FC4">
              <w:rPr>
                <w:lang w:val="sq-AL"/>
              </w:rPr>
              <w:t>Data</w:t>
            </w:r>
          </w:p>
        </w:tc>
        <w:tc>
          <w:tcPr>
            <w:tcW w:w="8349" w:type="dxa"/>
            <w:tcBorders>
              <w:top w:val="single" w:sz="8" w:space="0" w:color="000000"/>
              <w:left w:val="single" w:sz="8" w:space="0" w:color="000000"/>
              <w:bottom w:val="single" w:sz="8" w:space="0" w:color="000000"/>
              <w:right w:val="single" w:sz="8" w:space="0" w:color="000000"/>
            </w:tcBorders>
          </w:tcPr>
          <w:p w:rsidR="00612A60" w:rsidRPr="00FD2FC4" w:rsidRDefault="00FD2FC4">
            <w:pPr>
              <w:pBdr>
                <w:top w:val="none" w:sz="0" w:space="0" w:color="auto"/>
                <w:left w:val="none" w:sz="0" w:space="0" w:color="auto"/>
                <w:bottom w:val="none" w:sz="0" w:space="0" w:color="auto"/>
                <w:right w:val="none" w:sz="0" w:space="0" w:color="auto"/>
              </w:pBdr>
              <w:shd w:val="clear" w:color="auto" w:fill="auto"/>
              <w:spacing w:after="0" w:line="259" w:lineRule="auto"/>
              <w:ind w:left="0" w:firstLine="0"/>
              <w:jc w:val="right"/>
              <w:rPr>
                <w:lang w:val="sq-AL"/>
              </w:rPr>
            </w:pPr>
            <w:r w:rsidRPr="00FD2FC4">
              <w:rPr>
                <w:lang w:val="sq-AL"/>
              </w:rPr>
              <w:t>31.12.2023</w:t>
            </w:r>
          </w:p>
        </w:tc>
      </w:tr>
      <w:tr w:rsidR="00612A60" w:rsidRPr="00FD2FC4">
        <w:trPr>
          <w:trHeight w:val="334"/>
        </w:trPr>
        <w:tc>
          <w:tcPr>
            <w:tcW w:w="1241" w:type="dxa"/>
            <w:tcBorders>
              <w:top w:val="single" w:sz="8" w:space="0" w:color="000000"/>
              <w:left w:val="single" w:sz="8" w:space="0" w:color="000000"/>
              <w:bottom w:val="single" w:sz="8" w:space="0" w:color="000000"/>
              <w:right w:val="single" w:sz="8" w:space="0" w:color="000000"/>
            </w:tcBorders>
          </w:tcPr>
          <w:p w:rsidR="00612A60" w:rsidRPr="00FD2FC4" w:rsidRDefault="00FD2FC4">
            <w:pPr>
              <w:pBdr>
                <w:top w:val="none" w:sz="0" w:space="0" w:color="auto"/>
                <w:left w:val="none" w:sz="0" w:space="0" w:color="auto"/>
                <w:bottom w:val="none" w:sz="0" w:space="0" w:color="auto"/>
                <w:right w:val="none" w:sz="0" w:space="0" w:color="auto"/>
              </w:pBdr>
              <w:shd w:val="clear" w:color="auto" w:fill="auto"/>
              <w:spacing w:after="0" w:line="259" w:lineRule="auto"/>
              <w:ind w:left="0" w:firstLine="0"/>
              <w:rPr>
                <w:lang w:val="sq-AL"/>
              </w:rPr>
            </w:pPr>
            <w:r w:rsidRPr="00FD2FC4">
              <w:rPr>
                <w:lang w:val="sq-AL"/>
              </w:rPr>
              <w:t>1.</w:t>
            </w:r>
          </w:p>
        </w:tc>
        <w:tc>
          <w:tcPr>
            <w:tcW w:w="8349" w:type="dxa"/>
            <w:tcBorders>
              <w:top w:val="single" w:sz="8" w:space="0" w:color="000000"/>
              <w:left w:val="single" w:sz="8" w:space="0" w:color="000000"/>
              <w:bottom w:val="single" w:sz="8" w:space="0" w:color="000000"/>
              <w:right w:val="single" w:sz="8" w:space="0" w:color="000000"/>
            </w:tcBorders>
          </w:tcPr>
          <w:p w:rsidR="00612A60" w:rsidRPr="00FD2FC4" w:rsidRDefault="00AA1502">
            <w:pPr>
              <w:pBdr>
                <w:top w:val="none" w:sz="0" w:space="0" w:color="auto"/>
                <w:left w:val="none" w:sz="0" w:space="0" w:color="auto"/>
                <w:bottom w:val="none" w:sz="0" w:space="0" w:color="auto"/>
                <w:right w:val="none" w:sz="0" w:space="0" w:color="auto"/>
              </w:pBdr>
              <w:shd w:val="clear" w:color="auto" w:fill="auto"/>
              <w:spacing w:after="0" w:line="259" w:lineRule="auto"/>
              <w:ind w:left="0" w:firstLine="0"/>
              <w:rPr>
                <w:lang w:val="sq-AL"/>
              </w:rPr>
            </w:pPr>
            <w:r w:rsidRPr="00FD2FC4">
              <w:rPr>
                <w:lang w:val="sq-AL"/>
              </w:rPr>
              <w:t>Fondi i hapur i detyrueshëm pensional Sava fondi pensional</w:t>
            </w:r>
          </w:p>
        </w:tc>
      </w:tr>
      <w:tr w:rsidR="00612A60" w:rsidRPr="00FD2FC4">
        <w:trPr>
          <w:trHeight w:val="334"/>
        </w:trPr>
        <w:tc>
          <w:tcPr>
            <w:tcW w:w="1241" w:type="dxa"/>
            <w:tcBorders>
              <w:top w:val="single" w:sz="8" w:space="0" w:color="000000"/>
              <w:left w:val="single" w:sz="8" w:space="0" w:color="000000"/>
              <w:bottom w:val="single" w:sz="8" w:space="0" w:color="000000"/>
              <w:right w:val="single" w:sz="8" w:space="0" w:color="000000"/>
            </w:tcBorders>
          </w:tcPr>
          <w:p w:rsidR="00612A60" w:rsidRPr="00FD2FC4" w:rsidRDefault="00FD2FC4">
            <w:pPr>
              <w:pBdr>
                <w:top w:val="none" w:sz="0" w:space="0" w:color="auto"/>
                <w:left w:val="none" w:sz="0" w:space="0" w:color="auto"/>
                <w:bottom w:val="none" w:sz="0" w:space="0" w:color="auto"/>
                <w:right w:val="none" w:sz="0" w:space="0" w:color="auto"/>
              </w:pBdr>
              <w:shd w:val="clear" w:color="auto" w:fill="auto"/>
              <w:spacing w:after="0" w:line="259" w:lineRule="auto"/>
              <w:ind w:left="0" w:firstLine="0"/>
              <w:rPr>
                <w:lang w:val="sq-AL"/>
              </w:rPr>
            </w:pPr>
            <w:r w:rsidRPr="00FD2FC4">
              <w:rPr>
                <w:lang w:val="sq-AL"/>
              </w:rPr>
              <w:t>2.</w:t>
            </w:r>
          </w:p>
        </w:tc>
        <w:tc>
          <w:tcPr>
            <w:tcW w:w="8349" w:type="dxa"/>
            <w:tcBorders>
              <w:top w:val="single" w:sz="8" w:space="0" w:color="000000"/>
              <w:left w:val="single" w:sz="8" w:space="0" w:color="000000"/>
              <w:bottom w:val="single" w:sz="8" w:space="0" w:color="000000"/>
              <w:right w:val="single" w:sz="8" w:space="0" w:color="000000"/>
            </w:tcBorders>
          </w:tcPr>
          <w:p w:rsidR="00612A60" w:rsidRPr="00FD2FC4" w:rsidRDefault="00AA1502">
            <w:pPr>
              <w:pBdr>
                <w:top w:val="none" w:sz="0" w:space="0" w:color="auto"/>
                <w:left w:val="none" w:sz="0" w:space="0" w:color="auto"/>
                <w:bottom w:val="none" w:sz="0" w:space="0" w:color="auto"/>
                <w:right w:val="none" w:sz="0" w:space="0" w:color="auto"/>
              </w:pBdr>
              <w:shd w:val="clear" w:color="auto" w:fill="auto"/>
              <w:spacing w:after="0" w:line="259" w:lineRule="auto"/>
              <w:ind w:left="0" w:firstLine="0"/>
              <w:rPr>
                <w:lang w:val="sq-AL"/>
              </w:rPr>
            </w:pPr>
            <w:r w:rsidRPr="00FD2FC4">
              <w:rPr>
                <w:lang w:val="sq-AL"/>
              </w:rPr>
              <w:t>KB Fondi i parë i hapur i detyruehsëm pensional - Shkup</w:t>
            </w:r>
          </w:p>
        </w:tc>
      </w:tr>
      <w:tr w:rsidR="00612A60" w:rsidRPr="00FD2FC4">
        <w:trPr>
          <w:trHeight w:val="334"/>
        </w:trPr>
        <w:tc>
          <w:tcPr>
            <w:tcW w:w="1241" w:type="dxa"/>
            <w:tcBorders>
              <w:top w:val="single" w:sz="8" w:space="0" w:color="000000"/>
              <w:left w:val="single" w:sz="8" w:space="0" w:color="000000"/>
              <w:bottom w:val="single" w:sz="8" w:space="0" w:color="000000"/>
              <w:right w:val="single" w:sz="8" w:space="0" w:color="000000"/>
            </w:tcBorders>
          </w:tcPr>
          <w:p w:rsidR="00612A60" w:rsidRPr="00FD2FC4" w:rsidRDefault="00FD2FC4">
            <w:pPr>
              <w:pBdr>
                <w:top w:val="none" w:sz="0" w:space="0" w:color="auto"/>
                <w:left w:val="none" w:sz="0" w:space="0" w:color="auto"/>
                <w:bottom w:val="none" w:sz="0" w:space="0" w:color="auto"/>
                <w:right w:val="none" w:sz="0" w:space="0" w:color="auto"/>
              </w:pBdr>
              <w:shd w:val="clear" w:color="auto" w:fill="auto"/>
              <w:spacing w:after="0" w:line="259" w:lineRule="auto"/>
              <w:ind w:left="0" w:firstLine="0"/>
              <w:rPr>
                <w:lang w:val="sq-AL"/>
              </w:rPr>
            </w:pPr>
            <w:r w:rsidRPr="00FD2FC4">
              <w:rPr>
                <w:lang w:val="sq-AL"/>
              </w:rPr>
              <w:t>3.</w:t>
            </w:r>
          </w:p>
        </w:tc>
        <w:tc>
          <w:tcPr>
            <w:tcW w:w="8349" w:type="dxa"/>
            <w:tcBorders>
              <w:top w:val="single" w:sz="8" w:space="0" w:color="000000"/>
              <w:left w:val="single" w:sz="8" w:space="0" w:color="000000"/>
              <w:bottom w:val="single" w:sz="8" w:space="0" w:color="000000"/>
              <w:right w:val="single" w:sz="8" w:space="0" w:color="000000"/>
            </w:tcBorders>
          </w:tcPr>
          <w:p w:rsidR="00612A60" w:rsidRPr="00FD2FC4" w:rsidRDefault="00AA1502">
            <w:pPr>
              <w:pBdr>
                <w:top w:val="none" w:sz="0" w:space="0" w:color="auto"/>
                <w:left w:val="none" w:sz="0" w:space="0" w:color="auto"/>
                <w:bottom w:val="none" w:sz="0" w:space="0" w:color="auto"/>
                <w:right w:val="none" w:sz="0" w:space="0" w:color="auto"/>
              </w:pBdr>
              <w:shd w:val="clear" w:color="auto" w:fill="auto"/>
              <w:spacing w:after="0" w:line="259" w:lineRule="auto"/>
              <w:ind w:left="0" w:firstLine="0"/>
              <w:rPr>
                <w:lang w:val="sq-AL"/>
              </w:rPr>
            </w:pPr>
            <w:r w:rsidRPr="00FD2FC4">
              <w:rPr>
                <w:lang w:val="sq-AL"/>
              </w:rPr>
              <w:t>Triglav fondi i hapur i detyrueshëm pensional - Shkup</w:t>
            </w:r>
          </w:p>
        </w:tc>
      </w:tr>
    </w:tbl>
    <w:p w:rsidR="00612A60" w:rsidRPr="00FD2FC4" w:rsidRDefault="00AA1502" w:rsidP="00AA1502">
      <w:pPr>
        <w:spacing w:after="651"/>
        <w:ind w:left="-5"/>
        <w:rPr>
          <w:lang w:val="sq-AL"/>
        </w:rPr>
      </w:pPr>
      <w:r w:rsidRPr="00FD2FC4">
        <w:rPr>
          <w:lang w:val="sq-AL"/>
        </w:rPr>
        <w:t xml:space="preserve">Agjencia vërtetoi se të gjitha fondet pensionale të detyrueshme janë fonde të mëdha pensionale </w:t>
      </w:r>
      <w:r w:rsidRPr="00FD2FC4">
        <w:rPr>
          <w:lang w:val="sq-AL"/>
        </w:rPr>
        <w:t>(</w:t>
      </w:r>
      <w:r w:rsidRPr="00FD2FC4">
        <w:rPr>
          <w:lang w:val="sq-AL"/>
        </w:rPr>
        <w:t>ang</w:t>
      </w:r>
      <w:r w:rsidRPr="00FD2FC4">
        <w:rPr>
          <w:lang w:val="sq-AL"/>
        </w:rPr>
        <w:t xml:space="preserve">: Large pension funds) </w:t>
      </w:r>
      <w:r w:rsidRPr="00FD2FC4">
        <w:rPr>
          <w:lang w:val="sq-AL"/>
        </w:rPr>
        <w:t>në industrinë e sigurimit pensional të brendshëm. Nga perspektiva e stabilitetit financiar, "i madh" do të thotë "me një ndikim të rëndësishëm potencial në stabilitetin financiar". Të dhënat për këto tre fonde pensionale përfshihen në rreziqet sistemike të përcaktuara dhe në llogaritjet e treguesve përkatës që lidhen me sigurimin pensional të financuar nga kapitali.</w:t>
      </w:r>
      <w:r w:rsidR="00FD2FC4" w:rsidRPr="00FD2FC4">
        <w:rPr>
          <w:lang w:val="sq-AL"/>
        </w:rPr>
        <w:t xml:space="preserve"> </w:t>
      </w:r>
    </w:p>
    <w:p w:rsidR="00612A60" w:rsidRPr="00FD2FC4" w:rsidRDefault="00AA1502">
      <w:pPr>
        <w:pBdr>
          <w:top w:val="none" w:sz="0" w:space="0" w:color="auto"/>
          <w:left w:val="none" w:sz="0" w:space="0" w:color="auto"/>
          <w:bottom w:val="none" w:sz="0" w:space="0" w:color="auto"/>
          <w:right w:val="none" w:sz="0" w:space="0" w:color="auto"/>
        </w:pBdr>
        <w:shd w:val="clear" w:color="auto" w:fill="auto"/>
        <w:spacing w:after="391" w:line="259" w:lineRule="auto"/>
        <w:ind w:left="0" w:firstLine="0"/>
        <w:rPr>
          <w:lang w:val="sq-AL"/>
        </w:rPr>
      </w:pPr>
      <w:r w:rsidRPr="00FD2FC4">
        <w:rPr>
          <w:b/>
          <w:lang w:val="sq-AL"/>
        </w:rPr>
        <w:t>Metodologjia dhe të dhënat</w:t>
      </w:r>
      <w:r w:rsidR="00FD2FC4" w:rsidRPr="00FD2FC4">
        <w:rPr>
          <w:b/>
          <w:lang w:val="sq-AL"/>
        </w:rPr>
        <w:t>:</w:t>
      </w:r>
    </w:p>
    <w:p w:rsidR="00FD2FC4" w:rsidRPr="00FD2FC4" w:rsidRDefault="00AA1502" w:rsidP="00FD2FC4">
      <w:pPr>
        <w:ind w:left="-5"/>
        <w:rPr>
          <w:lang w:val="sq-AL"/>
        </w:rPr>
      </w:pPr>
      <w:r w:rsidRPr="00FD2FC4">
        <w:rPr>
          <w:lang w:val="sq-AL"/>
        </w:rPr>
        <w:t>Për vlerësimin e fondeve të mëdha të pensioneve (eng</w:t>
      </w:r>
      <w:r w:rsidR="00FD2FC4" w:rsidRPr="00FD2FC4">
        <w:rPr>
          <w:lang w:val="sq-AL"/>
        </w:rPr>
        <w:t>:</w:t>
      </w:r>
      <w:r w:rsidR="00FD2FC4" w:rsidRPr="00FD2FC4">
        <w:rPr>
          <w:lang w:val="sq-AL"/>
        </w:rPr>
        <w:t xml:space="preserve"> Large pension funds) </w:t>
      </w:r>
    </w:p>
    <w:p w:rsidR="00612A60" w:rsidRPr="00FD2FC4" w:rsidRDefault="00FD2FC4" w:rsidP="00FD2FC4">
      <w:pPr>
        <w:ind w:left="-5"/>
        <w:rPr>
          <w:lang w:val="sq-AL"/>
        </w:rPr>
      </w:pPr>
      <w:r w:rsidRPr="00FD2FC4">
        <w:rPr>
          <w:lang w:val="sq-AL"/>
        </w:rPr>
        <w:t xml:space="preserve">Agjencia miratoi </w:t>
      </w:r>
      <w:r w:rsidRPr="00FD2FC4">
        <w:rPr>
          <w:lang w:val="sq-AL"/>
        </w:rPr>
        <w:t>definimin</w:t>
      </w:r>
      <w:r w:rsidRPr="00FD2FC4">
        <w:rPr>
          <w:lang w:val="sq-AL"/>
        </w:rPr>
        <w:t xml:space="preserve"> nga dokumenti IOPS</w:t>
      </w:r>
      <w:r w:rsidRPr="00FD2FC4">
        <w:rPr>
          <w:lang w:val="sq-AL"/>
        </w:rPr>
        <w:t xml:space="preserve"> </w:t>
      </w:r>
      <w:r w:rsidRPr="00FD2FC4">
        <w:rPr>
          <w:lang w:val="sq-AL"/>
        </w:rPr>
        <w:t xml:space="preserve">(Macro- and microdimensions of supervision of large pension funds*). </w:t>
      </w:r>
    </w:p>
    <w:p w:rsidR="00612A60" w:rsidRPr="00FD2FC4" w:rsidRDefault="00FD2FC4">
      <w:pPr>
        <w:ind w:left="-5"/>
        <w:rPr>
          <w:lang w:val="sq-AL"/>
        </w:rPr>
      </w:pPr>
      <w:r w:rsidRPr="00FD2FC4">
        <w:rPr>
          <w:lang w:val="sq-AL"/>
        </w:rPr>
        <w:t>Një fond pensioni konsiderohet i madh në ekonominë vendase nëse plotëson të paktën një nga kriteret e listuara</w:t>
      </w:r>
      <w:r w:rsidRPr="00FD2FC4">
        <w:rPr>
          <w:lang w:val="sq-AL"/>
        </w:rPr>
        <w:t>:</w:t>
      </w:r>
    </w:p>
    <w:p w:rsidR="00612A60" w:rsidRPr="00FD2FC4" w:rsidRDefault="00FD2FC4">
      <w:pPr>
        <w:ind w:left="-5"/>
        <w:rPr>
          <w:lang w:val="sq-AL"/>
        </w:rPr>
      </w:pPr>
      <w:r w:rsidRPr="00FD2FC4">
        <w:rPr>
          <w:lang w:val="sq-AL"/>
        </w:rPr>
        <w:t>V</w:t>
      </w:r>
      <w:r w:rsidRPr="00FD2FC4">
        <w:rPr>
          <w:lang w:val="sq-AL"/>
        </w:rPr>
        <w:t>1. Mjetet e saj janë më të mëdha se 10% e tregut total të fondit të pensioneve</w:t>
      </w:r>
      <w:r w:rsidRPr="00FD2FC4">
        <w:rPr>
          <w:lang w:val="sq-AL"/>
        </w:rPr>
        <w:t>,</w:t>
      </w:r>
    </w:p>
    <w:p w:rsidR="00FD2FC4" w:rsidRPr="00FD2FC4" w:rsidRDefault="00FD2FC4" w:rsidP="00FD2FC4">
      <w:pPr>
        <w:ind w:left="-5"/>
        <w:rPr>
          <w:lang w:val="sq-AL"/>
        </w:rPr>
      </w:pPr>
      <w:r w:rsidRPr="00FD2FC4">
        <w:rPr>
          <w:lang w:val="sq-AL"/>
        </w:rPr>
        <w:t>V</w:t>
      </w:r>
      <w:r w:rsidRPr="00FD2FC4">
        <w:rPr>
          <w:lang w:val="sq-AL"/>
        </w:rPr>
        <w:t xml:space="preserve">2. </w:t>
      </w:r>
      <w:r w:rsidRPr="00FD2FC4">
        <w:rPr>
          <w:lang w:val="sq-AL"/>
        </w:rPr>
        <w:t xml:space="preserve">Mjetet e saj janë më të mëdha se 1% e kapitalizimit të tregut të </w:t>
      </w:r>
    </w:p>
    <w:p w:rsidR="00612A60" w:rsidRPr="00FD2FC4" w:rsidRDefault="00FD2FC4" w:rsidP="00FD2FC4">
      <w:pPr>
        <w:ind w:left="-5"/>
        <w:rPr>
          <w:lang w:val="sq-AL"/>
        </w:rPr>
      </w:pPr>
      <w:r w:rsidRPr="00FD2FC4">
        <w:rPr>
          <w:lang w:val="sq-AL"/>
        </w:rPr>
        <w:t>b</w:t>
      </w:r>
      <w:r w:rsidRPr="00FD2FC4">
        <w:rPr>
          <w:lang w:val="sq-AL"/>
        </w:rPr>
        <w:t>urs</w:t>
      </w:r>
      <w:r w:rsidRPr="00FD2FC4">
        <w:rPr>
          <w:lang w:val="sq-AL"/>
        </w:rPr>
        <w:t>ë m</w:t>
      </w:r>
      <w:r w:rsidRPr="00FD2FC4">
        <w:rPr>
          <w:lang w:val="sq-AL"/>
        </w:rPr>
        <w:t>aqedon</w:t>
      </w:r>
      <w:r w:rsidRPr="00FD2FC4">
        <w:rPr>
          <w:lang w:val="sq-AL"/>
        </w:rPr>
        <w:t>a</w:t>
      </w:r>
      <w:r w:rsidRPr="00FD2FC4">
        <w:rPr>
          <w:lang w:val="sq-AL"/>
        </w:rPr>
        <w:t>s</w:t>
      </w:r>
      <w:r w:rsidRPr="00FD2FC4">
        <w:rPr>
          <w:lang w:val="sq-AL"/>
        </w:rPr>
        <w:t>e</w:t>
      </w:r>
      <w:r w:rsidRPr="00FD2FC4">
        <w:rPr>
          <w:lang w:val="sq-AL"/>
        </w:rPr>
        <w:t xml:space="preserve"> ose</w:t>
      </w:r>
    </w:p>
    <w:p w:rsidR="00612A60" w:rsidRPr="00FD2FC4" w:rsidRDefault="00FD2FC4" w:rsidP="00FD2FC4">
      <w:pPr>
        <w:spacing w:after="734"/>
        <w:ind w:left="-5"/>
        <w:rPr>
          <w:lang w:val="sq-AL"/>
        </w:rPr>
      </w:pPr>
      <w:r w:rsidRPr="00FD2FC4">
        <w:rPr>
          <w:lang w:val="sq-AL"/>
        </w:rPr>
        <w:t>V</w:t>
      </w:r>
      <w:r w:rsidRPr="00FD2FC4">
        <w:rPr>
          <w:lang w:val="sq-AL"/>
        </w:rPr>
        <w:t>3. Vlera e letrave me vlerë të borxhit të brendshëm në pronësi të fondit pensional është më e madhe se 1% e shumës totale të letrave me vlerë të borxhit të brendshëm të emetuar</w:t>
      </w:r>
      <w:r w:rsidRPr="00FD2FC4">
        <w:rPr>
          <w:lang w:val="sq-AL"/>
        </w:rPr>
        <w:t xml:space="preserve">. </w:t>
      </w:r>
    </w:p>
    <w:p w:rsidR="00612A60" w:rsidRPr="00FD2FC4" w:rsidRDefault="00FD2FC4">
      <w:pPr>
        <w:pBdr>
          <w:top w:val="none" w:sz="0" w:space="0" w:color="auto"/>
          <w:left w:val="none" w:sz="0" w:space="0" w:color="auto"/>
          <w:bottom w:val="none" w:sz="0" w:space="0" w:color="auto"/>
          <w:right w:val="none" w:sz="0" w:space="0" w:color="auto"/>
        </w:pBdr>
        <w:shd w:val="clear" w:color="auto" w:fill="auto"/>
        <w:tabs>
          <w:tab w:val="center" w:pos="4692"/>
        </w:tabs>
        <w:spacing w:after="0" w:line="259" w:lineRule="auto"/>
        <w:ind w:left="0" w:firstLine="0"/>
        <w:rPr>
          <w:lang w:val="sq-AL"/>
        </w:rPr>
      </w:pPr>
      <w:r w:rsidRPr="00FD2FC4">
        <w:rPr>
          <w:lang w:val="sq-AL"/>
        </w:rPr>
        <w:t>*Burimi</w:t>
      </w:r>
      <w:r w:rsidRPr="00FD2FC4">
        <w:rPr>
          <w:lang w:val="sq-AL"/>
        </w:rPr>
        <w:t>:</w:t>
      </w:r>
      <w:r w:rsidRPr="00FD2FC4">
        <w:rPr>
          <w:lang w:val="sq-AL"/>
        </w:rPr>
        <w:tab/>
      </w:r>
      <w:hyperlink r:id="rId4">
        <w:r w:rsidRPr="00FD2FC4">
          <w:rPr>
            <w:rFonts w:ascii="Calibri" w:eastAsia="Calibri" w:hAnsi="Calibri" w:cs="Calibri"/>
            <w:color w:val="467886"/>
            <w:u w:val="single" w:color="467886"/>
            <w:lang w:val="sq-AL"/>
          </w:rPr>
          <w:t>Macro- a</w:t>
        </w:r>
        <w:r w:rsidRPr="00FD2FC4">
          <w:rPr>
            <w:rFonts w:ascii="Calibri" w:eastAsia="Calibri" w:hAnsi="Calibri" w:cs="Calibri"/>
            <w:color w:val="467886"/>
            <w:u w:val="single" w:color="467886"/>
            <w:lang w:val="sq-AL"/>
          </w:rPr>
          <w:t>nd micro-dimensions of supervision of large pension funds</w:t>
        </w:r>
      </w:hyperlink>
      <w:bookmarkEnd w:id="0"/>
    </w:p>
    <w:sectPr w:rsidR="00612A60" w:rsidRPr="00FD2FC4">
      <w:pgSz w:w="12240" w:h="15840"/>
      <w:pgMar w:top="1440" w:right="1798" w:bottom="1440" w:left="10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60"/>
    <w:rsid w:val="00612A60"/>
    <w:rsid w:val="00AA1502"/>
    <w:rsid w:val="00FD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EAB8"/>
  <w15:docId w15:val="{D2389B4F-CC9F-4ABE-BCC7-7B0D9DC9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15" w:space="0" w:color="000000"/>
        <w:left w:val="single" w:sz="15" w:space="0" w:color="000000"/>
        <w:bottom w:val="single" w:sz="15" w:space="0" w:color="000000"/>
        <w:right w:val="single" w:sz="16" w:space="0" w:color="000000"/>
      </w:pBdr>
      <w:shd w:val="clear" w:color="auto" w:fill="DCE6F1"/>
      <w:spacing w:after="1" w:line="257" w:lineRule="auto"/>
      <w:ind w:left="10" w:hanging="10"/>
    </w:pPr>
    <w:rPr>
      <w:rFonts w:ascii="Arial" w:eastAsia="Arial" w:hAnsi="Arial" w:cs="Arial"/>
      <w:color w:val="00000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251">
      <w:bodyDiv w:val="1"/>
      <w:marLeft w:val="0"/>
      <w:marRight w:val="0"/>
      <w:marTop w:val="0"/>
      <w:marBottom w:val="0"/>
      <w:divBdr>
        <w:top w:val="none" w:sz="0" w:space="0" w:color="auto"/>
        <w:left w:val="none" w:sz="0" w:space="0" w:color="auto"/>
        <w:bottom w:val="none" w:sz="0" w:space="0" w:color="auto"/>
        <w:right w:val="none" w:sz="0" w:space="0" w:color="auto"/>
      </w:divBdr>
    </w:div>
    <w:div w:id="308023038">
      <w:bodyDiv w:val="1"/>
      <w:marLeft w:val="0"/>
      <w:marRight w:val="0"/>
      <w:marTop w:val="0"/>
      <w:marBottom w:val="0"/>
      <w:divBdr>
        <w:top w:val="none" w:sz="0" w:space="0" w:color="auto"/>
        <w:left w:val="none" w:sz="0" w:space="0" w:color="auto"/>
        <w:bottom w:val="none" w:sz="0" w:space="0" w:color="auto"/>
        <w:right w:val="none" w:sz="0" w:space="0" w:color="auto"/>
      </w:divBdr>
    </w:div>
    <w:div w:id="639188794">
      <w:bodyDiv w:val="1"/>
      <w:marLeft w:val="0"/>
      <w:marRight w:val="0"/>
      <w:marTop w:val="0"/>
      <w:marBottom w:val="0"/>
      <w:divBdr>
        <w:top w:val="none" w:sz="0" w:space="0" w:color="auto"/>
        <w:left w:val="none" w:sz="0" w:space="0" w:color="auto"/>
        <w:bottom w:val="none" w:sz="0" w:space="0" w:color="auto"/>
        <w:right w:val="none" w:sz="0" w:space="0" w:color="auto"/>
      </w:divBdr>
    </w:div>
    <w:div w:id="781001648">
      <w:bodyDiv w:val="1"/>
      <w:marLeft w:val="0"/>
      <w:marRight w:val="0"/>
      <w:marTop w:val="0"/>
      <w:marBottom w:val="0"/>
      <w:divBdr>
        <w:top w:val="none" w:sz="0" w:space="0" w:color="auto"/>
        <w:left w:val="none" w:sz="0" w:space="0" w:color="auto"/>
        <w:bottom w:val="none" w:sz="0" w:space="0" w:color="auto"/>
        <w:right w:val="none" w:sz="0" w:space="0" w:color="auto"/>
      </w:divBdr>
    </w:div>
    <w:div w:id="950086075">
      <w:bodyDiv w:val="1"/>
      <w:marLeft w:val="0"/>
      <w:marRight w:val="0"/>
      <w:marTop w:val="0"/>
      <w:marBottom w:val="0"/>
      <w:divBdr>
        <w:top w:val="none" w:sz="0" w:space="0" w:color="auto"/>
        <w:left w:val="none" w:sz="0" w:space="0" w:color="auto"/>
        <w:bottom w:val="none" w:sz="0" w:space="0" w:color="auto"/>
        <w:right w:val="none" w:sz="0" w:space="0" w:color="auto"/>
      </w:divBdr>
    </w:div>
    <w:div w:id="1062825996">
      <w:bodyDiv w:val="1"/>
      <w:marLeft w:val="0"/>
      <w:marRight w:val="0"/>
      <w:marTop w:val="0"/>
      <w:marBottom w:val="0"/>
      <w:divBdr>
        <w:top w:val="none" w:sz="0" w:space="0" w:color="auto"/>
        <w:left w:val="none" w:sz="0" w:space="0" w:color="auto"/>
        <w:bottom w:val="none" w:sz="0" w:space="0" w:color="auto"/>
        <w:right w:val="none" w:sz="0" w:space="0" w:color="auto"/>
      </w:divBdr>
    </w:div>
    <w:div w:id="1305701546">
      <w:bodyDiv w:val="1"/>
      <w:marLeft w:val="0"/>
      <w:marRight w:val="0"/>
      <w:marTop w:val="0"/>
      <w:marBottom w:val="0"/>
      <w:divBdr>
        <w:top w:val="none" w:sz="0" w:space="0" w:color="auto"/>
        <w:left w:val="none" w:sz="0" w:space="0" w:color="auto"/>
        <w:bottom w:val="none" w:sz="0" w:space="0" w:color="auto"/>
        <w:right w:val="none" w:sz="0" w:space="0" w:color="auto"/>
      </w:divBdr>
    </w:div>
    <w:div w:id="1504586475">
      <w:bodyDiv w:val="1"/>
      <w:marLeft w:val="0"/>
      <w:marRight w:val="0"/>
      <w:marTop w:val="0"/>
      <w:marBottom w:val="0"/>
      <w:divBdr>
        <w:top w:val="none" w:sz="0" w:space="0" w:color="auto"/>
        <w:left w:val="none" w:sz="0" w:space="0" w:color="auto"/>
        <w:bottom w:val="none" w:sz="0" w:space="0" w:color="auto"/>
        <w:right w:val="none" w:sz="0" w:space="0" w:color="auto"/>
      </w:divBdr>
    </w:div>
    <w:div w:id="1598249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opsweb.org/WP-30-Macro-Micro-Dimensions-Supervision-LP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Koteska</dc:creator>
  <cp:keywords/>
  <cp:lastModifiedBy>Asim Zaimi</cp:lastModifiedBy>
  <cp:revision>2</cp:revision>
  <dcterms:created xsi:type="dcterms:W3CDTF">2024-06-04T09:24:00Z</dcterms:created>
  <dcterms:modified xsi:type="dcterms:W3CDTF">2024-06-04T09:24:00Z</dcterms:modified>
</cp:coreProperties>
</file>